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snapToGrid w:val="0"/>
        <w:spacing w:before="319" w:beforeLines="100" w:after="319" w:afterLines="100"/>
        <w:ind w:leftChars="0"/>
        <w:jc w:val="center"/>
        <w:outlineLvl w:val="0"/>
        <w:rPr>
          <w:rFonts w:hint="eastAsia" w:ascii="宋体" w:hAnsi="宋体" w:cs="宋体"/>
          <w:b/>
          <w:color w:val="000000"/>
          <w:spacing w:val="0"/>
          <w:sz w:val="52"/>
          <w:szCs w:val="52"/>
        </w:rPr>
      </w:pPr>
      <w:r>
        <w:rPr>
          <w:rFonts w:hint="eastAsia" w:ascii="宋体" w:hAnsi="宋体" w:cs="宋体"/>
          <w:b/>
          <w:color w:val="000000"/>
          <w:spacing w:val="0"/>
          <w:sz w:val="52"/>
          <w:szCs w:val="52"/>
          <w:lang w:eastAsia="zh-CN"/>
        </w:rPr>
        <w:t>遴选</w:t>
      </w:r>
      <w:r>
        <w:rPr>
          <w:rFonts w:hint="eastAsia" w:ascii="宋体" w:hAnsi="宋体" w:cs="宋体"/>
          <w:b/>
          <w:color w:val="000000"/>
          <w:spacing w:val="0"/>
          <w:sz w:val="52"/>
          <w:szCs w:val="52"/>
        </w:rPr>
        <w:t>内容及要求</w:t>
      </w:r>
    </w:p>
    <w:p>
      <w:pPr>
        <w:tabs>
          <w:tab w:val="left" w:pos="1815"/>
        </w:tabs>
        <w:spacing w:line="500" w:lineRule="exact"/>
        <w:ind w:firstLine="482" w:firstLineChars="200"/>
        <w:jc w:val="left"/>
        <w:outlineLvl w:val="1"/>
        <w:rPr>
          <w:rFonts w:hint="eastAsia" w:ascii="宋体" w:hAnsi="宋体" w:cs="宋体"/>
          <w:b/>
          <w:bCs/>
          <w:color w:val="000000"/>
          <w:spacing w:val="0"/>
          <w:sz w:val="24"/>
        </w:rPr>
      </w:pPr>
      <w:r>
        <w:rPr>
          <w:rFonts w:hint="eastAsia" w:ascii="宋体" w:hAnsi="宋体" w:cs="宋体"/>
          <w:b/>
          <w:bCs/>
          <w:color w:val="000000"/>
          <w:spacing w:val="0"/>
          <w:sz w:val="24"/>
        </w:rPr>
        <w:t>一、项目概况</w:t>
      </w:r>
    </w:p>
    <w:p>
      <w:pPr>
        <w:widowControl/>
        <w:spacing w:line="500" w:lineRule="exact"/>
        <w:ind w:firstLine="480" w:firstLineChars="200"/>
        <w:jc w:val="left"/>
        <w:rPr>
          <w:rFonts w:hint="eastAsia" w:ascii="宋体" w:hAnsi="宋体" w:cs="宋体"/>
          <w:color w:val="000000"/>
          <w:spacing w:val="0"/>
          <w:kern w:val="0"/>
          <w:sz w:val="24"/>
          <w:lang w:bidi="ar"/>
        </w:rPr>
      </w:pPr>
      <w:r>
        <w:rPr>
          <w:rFonts w:hint="eastAsia" w:ascii="宋体" w:hAnsi="宋体" w:cs="宋体"/>
          <w:color w:val="000000"/>
          <w:spacing w:val="0"/>
          <w:sz w:val="24"/>
        </w:rPr>
        <w:t>根据中共中央国务院</w:t>
      </w:r>
      <w:r>
        <w:rPr>
          <w:rFonts w:hint="eastAsia" w:ascii="宋体" w:hAnsi="宋体" w:cs="宋体"/>
          <w:color w:val="000000"/>
          <w:spacing w:val="0"/>
          <w:kern w:val="0"/>
          <w:sz w:val="24"/>
          <w:lang w:bidi="ar"/>
        </w:rPr>
        <w:t>《关于促进中医药传承创新发展的意见》、《中共江西省委江西省人民政府关于促进中医药传承创新发展的实施意见》、《江西省“十四五”中医药发展规划》精神，持续提升基层中医药服务能力，方便群众看中医、放心用中药。提升赣州市中医院蓉江院区信息化、智慧化建设的总体需要。</w:t>
      </w:r>
    </w:p>
    <w:p>
      <w:pPr>
        <w:widowControl/>
        <w:spacing w:line="500" w:lineRule="exact"/>
        <w:ind w:firstLine="480" w:firstLineChars="200"/>
        <w:jc w:val="left"/>
        <w:rPr>
          <w:rFonts w:hint="eastAsia" w:ascii="宋体" w:hAnsi="宋体" w:cs="宋体"/>
          <w:color w:val="000000"/>
          <w:spacing w:val="0"/>
          <w:sz w:val="24"/>
          <w:highlight w:val="yellow"/>
        </w:rPr>
      </w:pPr>
      <w:r>
        <w:rPr>
          <w:rFonts w:hint="eastAsia" w:ascii="宋体" w:hAnsi="宋体" w:cs="宋体"/>
          <w:color w:val="000000"/>
          <w:spacing w:val="0"/>
          <w:sz w:val="24"/>
        </w:rPr>
        <w:t>赣州市中医院拟通过</w:t>
      </w:r>
      <w:r>
        <w:rPr>
          <w:rFonts w:hint="eastAsia" w:ascii="宋体" w:hAnsi="宋体" w:cs="宋体"/>
          <w:color w:val="000000"/>
          <w:spacing w:val="0"/>
          <w:sz w:val="24"/>
          <w:lang w:eastAsia="zh-CN"/>
        </w:rPr>
        <w:t>遴选</w:t>
      </w:r>
      <w:r>
        <w:rPr>
          <w:rFonts w:hint="eastAsia" w:ascii="宋体" w:hAnsi="宋体" w:cs="宋体"/>
          <w:color w:val="000000"/>
          <w:spacing w:val="0"/>
          <w:sz w:val="24"/>
        </w:rPr>
        <w:t>选定</w:t>
      </w:r>
      <w:r>
        <w:rPr>
          <w:rFonts w:hint="eastAsia" w:ascii="宋体" w:hAnsi="宋体" w:cs="宋体"/>
          <w:spacing w:val="0"/>
          <w:sz w:val="24"/>
        </w:rPr>
        <w:t>智慧中药房小包装饮片</w:t>
      </w:r>
      <w:r>
        <w:rPr>
          <w:rFonts w:hint="eastAsia" w:ascii="宋体" w:hAnsi="宋体" w:cs="宋体"/>
          <w:color w:val="000000"/>
          <w:spacing w:val="0"/>
          <w:sz w:val="24"/>
        </w:rPr>
        <w:t>供应商，负责赣州市中医院的小包装中药饮片供应及提供网络信息化建设运营及代煎配送等伴随服务。</w:t>
      </w:r>
      <w:r>
        <w:rPr>
          <w:rFonts w:hint="eastAsia" w:ascii="宋体" w:hAnsi="宋体" w:cs="宋体"/>
          <w:color w:val="000000"/>
          <w:spacing w:val="0"/>
          <w:kern w:val="0"/>
          <w:sz w:val="24"/>
          <w:lang w:bidi="ar"/>
        </w:rPr>
        <w:t xml:space="preserve"> </w:t>
      </w:r>
    </w:p>
    <w:p>
      <w:pPr>
        <w:tabs>
          <w:tab w:val="left" w:pos="1815"/>
        </w:tabs>
        <w:spacing w:line="500" w:lineRule="exact"/>
        <w:ind w:firstLine="482" w:firstLineChars="200"/>
        <w:jc w:val="left"/>
        <w:outlineLvl w:val="1"/>
        <w:rPr>
          <w:rFonts w:hint="eastAsia" w:ascii="宋体" w:hAnsi="宋体" w:cs="宋体"/>
          <w:color w:val="000000"/>
          <w:spacing w:val="0"/>
          <w:sz w:val="24"/>
        </w:rPr>
      </w:pPr>
      <w:r>
        <w:rPr>
          <w:rFonts w:hint="eastAsia" w:ascii="宋体" w:hAnsi="宋体" w:cs="宋体"/>
          <w:b/>
          <w:bCs/>
          <w:color w:val="000000"/>
          <w:spacing w:val="0"/>
          <w:sz w:val="24"/>
          <w:lang w:eastAsia="zh-CN"/>
        </w:rPr>
        <w:t>二</w:t>
      </w:r>
      <w:r>
        <w:rPr>
          <w:rFonts w:hint="eastAsia" w:ascii="宋体" w:hAnsi="宋体" w:cs="宋体"/>
          <w:b/>
          <w:bCs/>
          <w:color w:val="000000"/>
          <w:spacing w:val="0"/>
          <w:sz w:val="24"/>
        </w:rPr>
        <w:t>、</w:t>
      </w:r>
      <w:r>
        <w:rPr>
          <w:rFonts w:hint="eastAsia" w:ascii="宋体" w:hAnsi="宋体" w:cs="宋体"/>
          <w:b/>
          <w:bCs/>
          <w:color w:val="000000"/>
          <w:spacing w:val="0"/>
          <w:sz w:val="24"/>
          <w:lang w:eastAsia="zh-CN"/>
        </w:rPr>
        <w:t>遴选</w:t>
      </w:r>
      <w:r>
        <w:rPr>
          <w:rFonts w:hint="eastAsia" w:ascii="宋体" w:hAnsi="宋体" w:cs="宋体"/>
          <w:b/>
          <w:bCs/>
          <w:color w:val="000000"/>
          <w:spacing w:val="0"/>
          <w:sz w:val="24"/>
        </w:rPr>
        <w:t>范围及内容</w:t>
      </w:r>
      <w:r>
        <w:rPr>
          <w:rFonts w:hint="eastAsia" w:ascii="宋体" w:hAnsi="宋体" w:cs="宋体"/>
          <w:color w:val="000000"/>
          <w:spacing w:val="0"/>
          <w:sz w:val="24"/>
        </w:rPr>
        <w:t xml:space="preserve"> </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1" w:type="dxa"/>
            <w:noWrap w:val="0"/>
            <w:vAlign w:val="center"/>
          </w:tcPr>
          <w:p>
            <w:pPr>
              <w:tabs>
                <w:tab w:val="left" w:pos="1815"/>
              </w:tabs>
              <w:jc w:val="center"/>
              <w:rPr>
                <w:rFonts w:hint="eastAsia" w:ascii="宋体" w:hAnsi="宋体" w:cs="宋体"/>
                <w:b/>
                <w:bCs/>
                <w:color w:val="000000"/>
                <w:spacing w:val="0"/>
                <w:sz w:val="24"/>
              </w:rPr>
            </w:pPr>
            <w:r>
              <w:rPr>
                <w:rFonts w:hint="eastAsia" w:ascii="宋体" w:hAnsi="宋体" w:cs="宋体"/>
                <w:b/>
                <w:bCs/>
                <w:color w:val="000000"/>
                <w:spacing w:val="0"/>
                <w:sz w:val="24"/>
              </w:rPr>
              <w:t>采购内容</w:t>
            </w:r>
          </w:p>
        </w:tc>
        <w:tc>
          <w:tcPr>
            <w:tcW w:w="4261" w:type="dxa"/>
            <w:noWrap w:val="0"/>
            <w:vAlign w:val="center"/>
          </w:tcPr>
          <w:p>
            <w:pPr>
              <w:tabs>
                <w:tab w:val="left" w:pos="1815"/>
              </w:tabs>
              <w:jc w:val="center"/>
              <w:rPr>
                <w:rFonts w:hint="eastAsia" w:ascii="宋体" w:hAnsi="宋体" w:cs="宋体"/>
                <w:b/>
                <w:bCs/>
                <w:color w:val="000000"/>
                <w:spacing w:val="0"/>
                <w:sz w:val="24"/>
              </w:rPr>
            </w:pPr>
            <w:r>
              <w:rPr>
                <w:rFonts w:hint="eastAsia" w:ascii="宋体" w:hAnsi="宋体" w:cs="宋体"/>
                <w:b/>
                <w:bCs/>
                <w:color w:val="000000"/>
                <w:spacing w:val="0"/>
                <w:sz w:val="24"/>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1" w:type="dxa"/>
            <w:noWrap w:val="0"/>
            <w:vAlign w:val="center"/>
          </w:tcPr>
          <w:p>
            <w:pPr>
              <w:tabs>
                <w:tab w:val="left" w:pos="1815"/>
              </w:tabs>
              <w:jc w:val="center"/>
              <w:rPr>
                <w:rFonts w:hint="eastAsia" w:ascii="宋体" w:hAnsi="宋体" w:cs="宋体"/>
                <w:color w:val="000000"/>
                <w:spacing w:val="0"/>
                <w:sz w:val="24"/>
              </w:rPr>
            </w:pPr>
            <w:r>
              <w:rPr>
                <w:rFonts w:hint="eastAsia" w:ascii="宋体" w:hAnsi="宋体" w:cs="宋体"/>
                <w:color w:val="000000"/>
                <w:spacing w:val="0"/>
                <w:sz w:val="24"/>
              </w:rPr>
              <w:t>小包装中药饮片</w:t>
            </w:r>
          </w:p>
        </w:tc>
        <w:tc>
          <w:tcPr>
            <w:tcW w:w="4261" w:type="dxa"/>
            <w:noWrap w:val="0"/>
            <w:vAlign w:val="center"/>
          </w:tcPr>
          <w:p>
            <w:pPr>
              <w:tabs>
                <w:tab w:val="left" w:pos="1815"/>
              </w:tabs>
              <w:jc w:val="center"/>
              <w:rPr>
                <w:rFonts w:hint="eastAsia" w:ascii="宋体" w:hAnsi="宋体" w:cs="宋体"/>
                <w:color w:val="000000"/>
                <w:spacing w:val="0"/>
                <w:sz w:val="24"/>
              </w:rPr>
            </w:pPr>
            <w:r>
              <w:rPr>
                <w:rFonts w:hint="eastAsia" w:ascii="宋体" w:hAnsi="宋体" w:cs="宋体"/>
                <w:color w:val="000000"/>
                <w:spacing w:val="0"/>
                <w:sz w:val="24"/>
              </w:rPr>
              <w:t>按需配送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2" w:type="dxa"/>
            <w:gridSpan w:val="2"/>
            <w:noWrap w:val="0"/>
            <w:vAlign w:val="center"/>
          </w:tcPr>
          <w:p>
            <w:pPr>
              <w:tabs>
                <w:tab w:val="left" w:pos="1815"/>
              </w:tabs>
              <w:jc w:val="center"/>
              <w:rPr>
                <w:rFonts w:hint="eastAsia" w:ascii="宋体" w:hAnsi="宋体" w:cs="宋体"/>
                <w:color w:val="000000"/>
                <w:spacing w:val="0"/>
                <w:sz w:val="24"/>
              </w:rPr>
            </w:pPr>
            <w:r>
              <w:rPr>
                <w:rFonts w:hint="eastAsia" w:ascii="宋体" w:hAnsi="宋体" w:cs="宋体"/>
                <w:b/>
                <w:bCs/>
                <w:color w:val="000000"/>
                <w:spacing w:val="0"/>
                <w:sz w:val="24"/>
              </w:rPr>
              <w:t>伴随服务内容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1" w:type="dxa"/>
            <w:noWrap w:val="0"/>
            <w:vAlign w:val="center"/>
          </w:tcPr>
          <w:p>
            <w:pPr>
              <w:tabs>
                <w:tab w:val="left" w:pos="1815"/>
              </w:tabs>
              <w:jc w:val="center"/>
              <w:rPr>
                <w:rFonts w:hint="eastAsia" w:ascii="宋体" w:hAnsi="宋体" w:cs="宋体"/>
                <w:color w:val="000000"/>
                <w:spacing w:val="0"/>
                <w:sz w:val="24"/>
              </w:rPr>
            </w:pPr>
            <w:r>
              <w:rPr>
                <w:rFonts w:hint="eastAsia" w:ascii="宋体" w:hAnsi="宋体" w:cs="宋体"/>
                <w:color w:val="000000"/>
                <w:spacing w:val="0"/>
                <w:sz w:val="24"/>
              </w:rPr>
              <w:t>智慧药房建设</w:t>
            </w:r>
            <w:r>
              <w:rPr>
                <w:rFonts w:hint="eastAsia" w:ascii="宋体" w:hAnsi="宋体" w:cs="宋体"/>
                <w:color w:val="000000"/>
                <w:spacing w:val="0"/>
                <w:sz w:val="24"/>
                <w:lang w:eastAsia="zh-CN"/>
              </w:rPr>
              <w:t>及伴随</w:t>
            </w:r>
            <w:r>
              <w:rPr>
                <w:rFonts w:hint="eastAsia" w:ascii="宋体" w:hAnsi="宋体" w:cs="宋体"/>
                <w:color w:val="000000"/>
                <w:spacing w:val="0"/>
                <w:sz w:val="24"/>
              </w:rPr>
              <w:t>服务</w:t>
            </w:r>
          </w:p>
        </w:tc>
        <w:tc>
          <w:tcPr>
            <w:tcW w:w="4261" w:type="dxa"/>
            <w:noWrap w:val="0"/>
            <w:vAlign w:val="center"/>
          </w:tcPr>
          <w:p>
            <w:pPr>
              <w:tabs>
                <w:tab w:val="left" w:pos="1815"/>
              </w:tabs>
              <w:jc w:val="center"/>
              <w:rPr>
                <w:rFonts w:hint="eastAsia" w:ascii="宋体" w:hAnsi="宋体" w:cs="宋体"/>
                <w:color w:val="000000"/>
                <w:spacing w:val="0"/>
                <w:sz w:val="24"/>
              </w:rPr>
            </w:pPr>
            <w:r>
              <w:rPr>
                <w:rFonts w:hint="eastAsia" w:ascii="宋体" w:hAnsi="宋体" w:cs="宋体"/>
                <w:color w:val="000000"/>
                <w:spacing w:val="0"/>
                <w:sz w:val="24"/>
              </w:rPr>
              <w:t>见</w:t>
            </w:r>
            <w:r>
              <w:rPr>
                <w:rFonts w:hint="eastAsia" w:ascii="宋体" w:hAnsi="宋体" w:cs="宋体"/>
                <w:color w:val="000000"/>
                <w:spacing w:val="0"/>
                <w:sz w:val="24"/>
                <w:lang w:eastAsia="zh-CN"/>
              </w:rPr>
              <w:t>遴选</w:t>
            </w:r>
            <w:r>
              <w:rPr>
                <w:rFonts w:hint="eastAsia" w:ascii="宋体" w:hAnsi="宋体" w:cs="宋体"/>
                <w:color w:val="000000"/>
                <w:spacing w:val="0"/>
                <w:sz w:val="24"/>
              </w:rPr>
              <w:t>内容及要求</w:t>
            </w:r>
          </w:p>
        </w:tc>
      </w:tr>
    </w:tbl>
    <w:p>
      <w:pPr>
        <w:tabs>
          <w:tab w:val="left" w:pos="1815"/>
        </w:tabs>
        <w:spacing w:line="500" w:lineRule="exact"/>
        <w:ind w:firstLine="482" w:firstLineChars="200"/>
        <w:jc w:val="left"/>
        <w:outlineLvl w:val="1"/>
        <w:rPr>
          <w:rFonts w:hint="eastAsia" w:ascii="宋体" w:hAnsi="宋体" w:cs="宋体"/>
          <w:b/>
          <w:bCs/>
          <w:color w:val="000000"/>
          <w:spacing w:val="0"/>
          <w:sz w:val="24"/>
        </w:rPr>
      </w:pPr>
      <w:bookmarkStart w:id="0" w:name="_Hlk144741554"/>
      <w:r>
        <w:rPr>
          <w:rFonts w:hint="eastAsia" w:ascii="宋体" w:hAnsi="宋体" w:cs="宋体"/>
          <w:b/>
          <w:bCs/>
          <w:color w:val="000000"/>
          <w:spacing w:val="0"/>
          <w:sz w:val="24"/>
        </w:rPr>
        <w:t>三、服务内容及要求</w:t>
      </w:r>
      <w:bookmarkEnd w:id="0"/>
    </w:p>
    <w:p>
      <w:pPr>
        <w:tabs>
          <w:tab w:val="left" w:pos="1815"/>
        </w:tabs>
        <w:spacing w:line="500" w:lineRule="exact"/>
        <w:ind w:firstLine="480" w:firstLineChars="200"/>
        <w:jc w:val="left"/>
        <w:rPr>
          <w:rFonts w:hint="eastAsia" w:ascii="宋体" w:hAnsi="宋体" w:cs="宋体"/>
          <w:spacing w:val="0"/>
          <w:sz w:val="24"/>
        </w:rPr>
      </w:pPr>
      <w:r>
        <w:rPr>
          <w:rFonts w:hint="eastAsia" w:ascii="宋体" w:hAnsi="宋体" w:cs="宋体"/>
          <w:color w:val="000000"/>
          <w:spacing w:val="0"/>
          <w:sz w:val="24"/>
        </w:rPr>
        <w:t>1、软件信息系统搭建：包含提供智慧中医辅助诊疗系统、智慧中药房管理与操作系统、智慧化煎药操作系统、智慧物流配送系统并与医院HIS进行无缝对接</w:t>
      </w:r>
      <w:r>
        <w:rPr>
          <w:rFonts w:hint="eastAsia" w:ascii="宋体" w:hAnsi="宋体" w:cs="宋体"/>
          <w:color w:val="000000"/>
          <w:spacing w:val="0"/>
          <w:sz w:val="24"/>
          <w:lang w:eastAsia="zh-CN"/>
        </w:rPr>
        <w:t>（中选单位自费）</w:t>
      </w:r>
      <w:r>
        <w:rPr>
          <w:rFonts w:hint="eastAsia" w:ascii="宋体" w:hAnsi="宋体" w:cs="宋体"/>
          <w:color w:val="000000"/>
          <w:spacing w:val="0"/>
          <w:sz w:val="24"/>
        </w:rPr>
        <w:t>，后期能免费升级对接基层医疗卫生机构信息系统，搭建共享智慧中药房</w:t>
      </w:r>
      <w:r>
        <w:rPr>
          <w:rFonts w:hint="eastAsia" w:ascii="宋体" w:hAnsi="宋体" w:cs="宋体"/>
          <w:spacing w:val="0"/>
          <w:sz w:val="24"/>
        </w:rPr>
        <w:t>。</w:t>
      </w:r>
      <w:r>
        <w:rPr>
          <w:rFonts w:hint="eastAsia" w:ascii="宋体" w:hAnsi="宋体" w:cs="宋体"/>
          <w:spacing w:val="0"/>
          <w:sz w:val="24"/>
        </w:rPr>
        <w:tab/>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rPr>
        <w:t>1.1、智慧中医辅助诊疗系统：基于中医大数据、云计算的有中医特色的中医诊疗信息系统，包含内外妇儿等各科中医辨证及中西医病名、中成药转换、经典名方、县内名老中医协定方等智能开方、辅助诊疗、在线学习经典医案、适宜技术操作视频、手机APP远程会诊等功能，并能在服务期内根据需求免费开发定制。</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rPr>
        <w:t>1.2、智慧中药房管理与操作系统</w:t>
      </w:r>
      <w:r>
        <w:rPr>
          <w:rFonts w:hint="eastAsia" w:ascii="宋体" w:hAnsi="宋体" w:cs="宋体"/>
          <w:color w:val="000000"/>
          <w:spacing w:val="0"/>
          <w:sz w:val="24"/>
          <w:lang w:val="en-US" w:eastAsia="zh-CN"/>
        </w:rPr>
        <w:t>（兼容散装中药饮片）</w:t>
      </w:r>
      <w:r>
        <w:rPr>
          <w:rFonts w:hint="eastAsia" w:ascii="宋体" w:hAnsi="宋体" w:cs="宋体"/>
          <w:color w:val="000000"/>
          <w:spacing w:val="0"/>
          <w:sz w:val="24"/>
        </w:rPr>
        <w:t>：中药饮片出库、库存管理、采购计划编制、调剂发放等全流程管理。处方接方、智能审方、调配、复核图片上传、浸泡、煎煮、配送全过程追溯，患者手机端APP可视化。支持公众号、服务号短信通知，包括调剂信息、煎煮信息、配送信息等功能。</w:t>
      </w:r>
    </w:p>
    <w:p>
      <w:pPr>
        <w:tabs>
          <w:tab w:val="left" w:pos="1815"/>
        </w:tabs>
        <w:spacing w:line="500" w:lineRule="exact"/>
        <w:ind w:firstLine="480" w:firstLineChars="200"/>
        <w:jc w:val="left"/>
        <w:rPr>
          <w:rFonts w:hint="eastAsia" w:ascii="宋体" w:hAnsi="宋体" w:cs="宋体"/>
          <w:color w:val="000000"/>
          <w:spacing w:val="0"/>
          <w:sz w:val="24"/>
          <w:highlight w:val="none"/>
        </w:rPr>
      </w:pPr>
      <w:r>
        <w:rPr>
          <w:rFonts w:hint="eastAsia" w:ascii="宋体" w:hAnsi="宋体" w:cs="宋体"/>
          <w:color w:val="000000"/>
          <w:spacing w:val="0"/>
          <w:sz w:val="24"/>
        </w:rPr>
        <w:t>1</w:t>
      </w:r>
      <w:r>
        <w:rPr>
          <w:rFonts w:hint="eastAsia" w:ascii="宋体" w:hAnsi="宋体" w:cs="宋体"/>
          <w:color w:val="000000"/>
          <w:spacing w:val="0"/>
          <w:sz w:val="24"/>
          <w:highlight w:val="none"/>
        </w:rPr>
        <w:t>.3、免费为本项目软件升级、维护、日常管理运营。</w:t>
      </w:r>
    </w:p>
    <w:p>
      <w:pPr>
        <w:widowControl/>
        <w:numPr>
          <w:ilvl w:val="0"/>
          <w:numId w:val="1"/>
        </w:numPr>
        <w:spacing w:line="500" w:lineRule="exact"/>
        <w:ind w:firstLine="480" w:firstLineChars="200"/>
        <w:jc w:val="left"/>
        <w:rPr>
          <w:rFonts w:hint="eastAsia" w:ascii="宋体" w:hAnsi="宋体" w:cs="宋体"/>
          <w:color w:val="000000"/>
          <w:spacing w:val="0"/>
          <w:sz w:val="24"/>
          <w:highlight w:val="none"/>
        </w:rPr>
      </w:pPr>
      <w:r>
        <w:rPr>
          <w:rFonts w:hint="eastAsia" w:ascii="宋体" w:hAnsi="宋体" w:cs="宋体"/>
          <w:color w:val="000000"/>
          <w:spacing w:val="0"/>
          <w:sz w:val="24"/>
          <w:highlight w:val="none"/>
        </w:rPr>
        <w:t>硬件建设：在赣州市中医院免费提供的场地内，建设并投入小包装调剂设备，需包含但不限于</w:t>
      </w:r>
      <w:r>
        <w:rPr>
          <w:rFonts w:hint="eastAsia" w:ascii="宋体" w:hAnsi="宋体" w:cs="宋体"/>
          <w:color w:val="000000"/>
          <w:spacing w:val="0"/>
          <w:kern w:val="0"/>
          <w:sz w:val="24"/>
          <w:highlight w:val="none"/>
          <w:lang w:bidi="ar"/>
        </w:rPr>
        <w:t>智慧中药房相关</w:t>
      </w:r>
      <w:r>
        <w:rPr>
          <w:rFonts w:hint="eastAsia" w:ascii="宋体" w:hAnsi="宋体" w:cs="宋体"/>
          <w:color w:val="000000"/>
          <w:spacing w:val="0"/>
          <w:sz w:val="24"/>
          <w:highlight w:val="none"/>
        </w:rPr>
        <w:t>小包装</w:t>
      </w:r>
      <w:r>
        <w:rPr>
          <w:rFonts w:hint="eastAsia" w:ascii="宋体" w:hAnsi="宋体" w:cs="宋体"/>
          <w:color w:val="000000"/>
          <w:spacing w:val="0"/>
          <w:kern w:val="0"/>
          <w:sz w:val="24"/>
          <w:highlight w:val="none"/>
          <w:lang w:bidi="ar"/>
        </w:rPr>
        <w:t>中药饮片智能调剂柜、</w:t>
      </w:r>
      <w:r>
        <w:rPr>
          <w:rFonts w:hint="eastAsia" w:ascii="宋体" w:hAnsi="宋体" w:cs="宋体"/>
          <w:color w:val="000000"/>
          <w:spacing w:val="0"/>
          <w:sz w:val="24"/>
          <w:highlight w:val="none"/>
        </w:rPr>
        <w:t>小包装</w:t>
      </w:r>
      <w:r>
        <w:rPr>
          <w:rFonts w:hint="eastAsia" w:ascii="宋体" w:hAnsi="宋体" w:cs="宋体"/>
          <w:color w:val="000000"/>
          <w:spacing w:val="0"/>
          <w:kern w:val="0"/>
          <w:sz w:val="24"/>
          <w:highlight w:val="none"/>
          <w:lang w:bidi="ar"/>
        </w:rPr>
        <w:t>中药饮片货架、接方审方台、成品发放台、称量设备、临方加工设备（粉碎机、切片机、烘干机）等设备</w:t>
      </w:r>
      <w:r>
        <w:rPr>
          <w:rFonts w:hint="eastAsia" w:ascii="宋体" w:hAnsi="宋体" w:cs="宋体"/>
          <w:color w:val="000000"/>
          <w:spacing w:val="0"/>
          <w:sz w:val="24"/>
          <w:highlight w:val="none"/>
        </w:rPr>
        <w:t>；按照国家标准《煎药中心要求》设计建设煎药室，需包含浸泡煎煮区、膏方加工区、成品发放区、辅材包材区、电脑、打印机、扫码枪等、中药制膏设备、中药膏剂包装设备。</w:t>
      </w:r>
    </w:p>
    <w:p>
      <w:pPr>
        <w:widowControl/>
        <w:spacing w:line="500" w:lineRule="exact"/>
        <w:ind w:firstLine="480" w:firstLineChars="200"/>
        <w:jc w:val="left"/>
        <w:rPr>
          <w:rFonts w:hint="eastAsia" w:ascii="宋体" w:hAnsi="宋体" w:cs="宋体"/>
          <w:spacing w:val="0"/>
          <w:sz w:val="24"/>
        </w:rPr>
      </w:pPr>
      <w:r>
        <w:rPr>
          <w:rFonts w:hint="eastAsia" w:ascii="宋体" w:hAnsi="宋体" w:cs="宋体"/>
          <w:color w:val="000000"/>
          <w:spacing w:val="0"/>
          <w:kern w:val="0"/>
          <w:sz w:val="24"/>
          <w:highlight w:val="none"/>
          <w:lang w:bidi="ar"/>
        </w:rPr>
        <w:t>2.1提供</w:t>
      </w:r>
      <w:r>
        <w:rPr>
          <w:rFonts w:hint="eastAsia" w:ascii="宋体" w:hAnsi="宋体" w:cs="宋体"/>
          <w:color w:val="auto"/>
          <w:spacing w:val="0"/>
          <w:kern w:val="0"/>
          <w:sz w:val="24"/>
          <w:highlight w:val="none"/>
          <w:lang w:bidi="ar"/>
        </w:rPr>
        <w:t>小包装中药饮片智能调剂系统一套，智能调剂药斗数量不少于</w:t>
      </w:r>
      <w:r>
        <w:rPr>
          <w:rFonts w:hint="eastAsia" w:ascii="宋体" w:hAnsi="宋体" w:cs="宋体"/>
          <w:color w:val="auto"/>
          <w:spacing w:val="0"/>
          <w:kern w:val="0"/>
          <w:sz w:val="24"/>
          <w:highlight w:val="none"/>
          <w:lang w:val="en-US" w:eastAsia="zh-CN" w:bidi="ar"/>
        </w:rPr>
        <w:t>2</w:t>
      </w:r>
      <w:r>
        <w:rPr>
          <w:rFonts w:hint="eastAsia" w:ascii="宋体" w:hAnsi="宋体" w:cs="宋体"/>
          <w:color w:val="auto"/>
          <w:spacing w:val="0"/>
          <w:kern w:val="0"/>
          <w:sz w:val="24"/>
          <w:highlight w:val="none"/>
          <w:lang w:bidi="ar"/>
        </w:rPr>
        <w:t>00味常用中药品种。能满足每日处理处方量 200-300 张的饮片调剂。设备具有：独立运行功能，多处方并行作业功能，PDA调剂信息采集及追溯功能，故障</w:t>
      </w:r>
      <w:r>
        <w:rPr>
          <w:rFonts w:hint="eastAsia" w:ascii="宋体" w:hAnsi="宋体" w:cs="宋体"/>
          <w:color w:val="auto"/>
          <w:spacing w:val="0"/>
          <w:kern w:val="0"/>
          <w:sz w:val="24"/>
          <w:lang w:bidi="ar"/>
        </w:rPr>
        <w:t>快速隔离及冗余功能；调剂可视化功能以及饮片储量不足时，PDA 报警功能，提醒及时补</w:t>
      </w:r>
      <w:r>
        <w:rPr>
          <w:rFonts w:hint="eastAsia" w:ascii="宋体" w:hAnsi="宋体" w:cs="宋体"/>
          <w:color w:val="000000"/>
          <w:spacing w:val="0"/>
          <w:kern w:val="0"/>
          <w:sz w:val="24"/>
          <w:lang w:bidi="ar"/>
        </w:rPr>
        <w:t>药，PDA 记录补药信息。</w:t>
      </w:r>
    </w:p>
    <w:p>
      <w:pPr>
        <w:widowControl/>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rPr>
        <w:t>2.2煎药机应当</w:t>
      </w:r>
      <w:r>
        <w:rPr>
          <w:rFonts w:hint="eastAsia" w:ascii="宋体" w:hAnsi="宋体" w:cs="宋体"/>
          <w:spacing w:val="0"/>
          <w:sz w:val="24"/>
        </w:rPr>
        <w:t>符合煎药设备行业标准</w:t>
      </w:r>
      <w:r>
        <w:rPr>
          <w:rFonts w:hint="eastAsia" w:ascii="宋体" w:hAnsi="宋体" w:cs="宋体"/>
          <w:color w:val="000000"/>
          <w:spacing w:val="0"/>
          <w:sz w:val="24"/>
        </w:rPr>
        <w:t>选用设计合理、技术先进、经济节能、自动贴签、耗材使用量少的产品，并能做到以下要求。</w:t>
      </w:r>
    </w:p>
    <w:p>
      <w:pPr>
        <w:pStyle w:val="3"/>
        <w:spacing w:before="0" w:beforeAutospacing="0" w:after="0" w:afterAutospacing="0" w:line="500" w:lineRule="exact"/>
        <w:ind w:firstLine="480" w:firstLineChars="200"/>
        <w:rPr>
          <w:rFonts w:hint="eastAsia"/>
          <w:spacing w:val="0"/>
        </w:rPr>
      </w:pPr>
      <w:r>
        <w:rPr>
          <w:rFonts w:hint="eastAsia"/>
          <w:spacing w:val="0"/>
        </w:rPr>
        <w:t>2.2.1每剂药一般煎煮两次，将两煎药汁混合后再分装。</w:t>
      </w:r>
    </w:p>
    <w:p>
      <w:pPr>
        <w:pStyle w:val="3"/>
        <w:spacing w:before="0" w:beforeAutospacing="0" w:after="0" w:afterAutospacing="0" w:line="500" w:lineRule="exact"/>
        <w:ind w:firstLine="480" w:firstLineChars="200"/>
        <w:rPr>
          <w:rFonts w:hint="eastAsia"/>
          <w:spacing w:val="0"/>
        </w:rPr>
      </w:pPr>
      <w:r>
        <w:rPr>
          <w:rFonts w:hint="eastAsia"/>
          <w:spacing w:val="0"/>
        </w:rPr>
        <w:t>（1）煎煮时间应当根据方剂的功能主治和药物的功效确定。一般药物煮沸后再煎煮20-30分钟；解表类、清热类、芳香类药物不宜久煎，煮沸后再煎煮15-20分钟；滋补药物先用武火煮沸后，改用文火慢煎约40—60分钟。药剂第二煎的煎煮时间应当比第一煎的时间略缩短。</w:t>
      </w:r>
    </w:p>
    <w:p>
      <w:pPr>
        <w:pStyle w:val="3"/>
        <w:spacing w:before="0" w:beforeAutospacing="0" w:after="0" w:afterAutospacing="0" w:line="500" w:lineRule="exact"/>
        <w:ind w:firstLine="480" w:firstLineChars="200"/>
        <w:rPr>
          <w:rFonts w:hint="eastAsia"/>
          <w:spacing w:val="0"/>
        </w:rPr>
      </w:pPr>
      <w:r>
        <w:rPr>
          <w:rFonts w:hint="eastAsia"/>
          <w:spacing w:val="0"/>
        </w:rPr>
        <w:t>2.2.2煎药量应当根据儿童和成人分别确定。儿童每剂一般煎至100-300毫升，成人每剂一般煎至400-600毫升，一般每剂按两份等量分装，或遵医嘱。</w:t>
      </w:r>
    </w:p>
    <w:p>
      <w:pPr>
        <w:pStyle w:val="3"/>
        <w:spacing w:before="0" w:beforeAutospacing="0" w:after="0" w:afterAutospacing="0" w:line="500" w:lineRule="exact"/>
        <w:ind w:firstLine="480" w:firstLineChars="200"/>
        <w:rPr>
          <w:rFonts w:hint="eastAsia"/>
          <w:spacing w:val="0"/>
        </w:rPr>
      </w:pPr>
      <w:r>
        <w:rPr>
          <w:rFonts w:hint="eastAsia"/>
          <w:spacing w:val="0"/>
        </w:rPr>
        <w:t>2.2.3凡注明有先煎、后下、另煎、烊化、包煎、煎汤代水等特殊要求的中药饮片，能满足相应的特殊煎煮的要求，并且实现智能化操作。</w:t>
      </w:r>
    </w:p>
    <w:p>
      <w:pPr>
        <w:pStyle w:val="3"/>
        <w:spacing w:before="0" w:beforeAutospacing="0" w:after="0" w:afterAutospacing="0" w:line="500" w:lineRule="exact"/>
        <w:ind w:firstLine="480" w:firstLineChars="200"/>
        <w:rPr>
          <w:rFonts w:hint="eastAsia"/>
          <w:spacing w:val="0"/>
        </w:rPr>
      </w:pPr>
      <w:r>
        <w:rPr>
          <w:rFonts w:hint="eastAsia"/>
          <w:spacing w:val="0"/>
        </w:rPr>
        <w:t>2.2.4药料应当充分煎透，做到无糊状块、无白心、无硬心。煎药时应当防止药液溢出、煎干或煮焦。煎干或煮焦者禁止药用。</w:t>
      </w:r>
    </w:p>
    <w:p>
      <w:pPr>
        <w:pStyle w:val="3"/>
        <w:spacing w:before="0" w:beforeAutospacing="0" w:after="0" w:afterAutospacing="0" w:line="500" w:lineRule="exact"/>
        <w:ind w:firstLine="480" w:firstLineChars="200"/>
        <w:rPr>
          <w:rFonts w:hint="eastAsia"/>
          <w:spacing w:val="0"/>
        </w:rPr>
      </w:pPr>
      <w:r>
        <w:rPr>
          <w:rFonts w:hint="eastAsia"/>
          <w:spacing w:val="0"/>
        </w:rPr>
        <w:t>2.2.5内服药与外用药应当使用不同的标识区分。</w:t>
      </w:r>
    </w:p>
    <w:p>
      <w:pPr>
        <w:pStyle w:val="3"/>
        <w:spacing w:before="0" w:beforeAutospacing="0" w:after="0" w:afterAutospacing="0" w:line="500" w:lineRule="exact"/>
        <w:ind w:firstLine="480" w:firstLineChars="200"/>
        <w:rPr>
          <w:rFonts w:hint="eastAsia"/>
          <w:spacing w:val="0"/>
        </w:rPr>
      </w:pPr>
      <w:r>
        <w:rPr>
          <w:rFonts w:hint="eastAsia"/>
          <w:spacing w:val="0"/>
        </w:rPr>
        <w:t>2.2.6煎煮好的药液应当装入经过清洗和消毒并符合盛放食品要求的容器内，严防污染。</w:t>
      </w:r>
    </w:p>
    <w:p>
      <w:pPr>
        <w:pStyle w:val="3"/>
        <w:spacing w:before="0" w:beforeAutospacing="0" w:after="0" w:afterAutospacing="0" w:line="500" w:lineRule="exact"/>
        <w:ind w:firstLine="480" w:firstLineChars="200"/>
        <w:rPr>
          <w:rFonts w:hint="eastAsia"/>
          <w:spacing w:val="0"/>
        </w:rPr>
      </w:pPr>
      <w:r>
        <w:rPr>
          <w:rFonts w:hint="eastAsia"/>
          <w:spacing w:val="0"/>
        </w:rPr>
        <w:t>2.2.7常压状态煎煮药物，煎药温度一般不超过100℃。煎出的药液量应当与方剂的剂量相符，分装剂量应当均匀。</w:t>
      </w:r>
    </w:p>
    <w:p>
      <w:pPr>
        <w:pStyle w:val="3"/>
        <w:spacing w:before="0" w:beforeAutospacing="0" w:after="0" w:afterAutospacing="0" w:line="500" w:lineRule="exact"/>
        <w:ind w:firstLine="480" w:firstLineChars="200"/>
        <w:rPr>
          <w:rFonts w:hint="eastAsia"/>
          <w:color w:val="000000"/>
          <w:spacing w:val="0"/>
          <w:highlight w:val="none"/>
        </w:rPr>
      </w:pPr>
      <w:r>
        <w:rPr>
          <w:rFonts w:hint="eastAsia"/>
          <w:spacing w:val="0"/>
        </w:rPr>
        <w:t>2.2.</w:t>
      </w:r>
      <w:r>
        <w:rPr>
          <w:rFonts w:hint="eastAsia"/>
          <w:spacing w:val="0"/>
          <w:highlight w:val="none"/>
        </w:rPr>
        <w:t>8包装药液的材料应当符合药品包装材料国家标准。</w:t>
      </w:r>
    </w:p>
    <w:p>
      <w:pPr>
        <w:pStyle w:val="3"/>
        <w:spacing w:before="0" w:beforeAutospacing="0" w:after="0" w:afterAutospacing="0" w:line="500" w:lineRule="exact"/>
        <w:ind w:firstLine="480" w:firstLineChars="200"/>
        <w:rPr>
          <w:rFonts w:hint="eastAsia"/>
          <w:spacing w:val="0"/>
          <w:highlight w:val="none"/>
        </w:rPr>
      </w:pPr>
      <w:r>
        <w:rPr>
          <w:rFonts w:hint="eastAsia"/>
          <w:spacing w:val="0"/>
          <w:highlight w:val="none"/>
        </w:rPr>
        <w:t>2.3煎药室的工作区和生活区应当分开，工作区内应当设有、准备、煎煮、储药、清洗等功能区域。</w:t>
      </w:r>
    </w:p>
    <w:p>
      <w:pPr>
        <w:pStyle w:val="3"/>
        <w:spacing w:before="0" w:beforeAutospacing="0" w:after="0" w:afterAutospacing="0" w:line="500" w:lineRule="exact"/>
        <w:ind w:firstLine="480" w:firstLineChars="200"/>
        <w:rPr>
          <w:rFonts w:hint="eastAsia"/>
          <w:spacing w:val="0"/>
          <w:highlight w:val="none"/>
        </w:rPr>
      </w:pPr>
      <w:r>
        <w:rPr>
          <w:rFonts w:hint="eastAsia"/>
          <w:spacing w:val="0"/>
          <w:highlight w:val="none"/>
        </w:rPr>
        <w:t>2.4煎药室应当宽敞、明亮，地面、墙面、屋顶应当平整、洁净、无污染、易清洁，应当有有效的通风、除尘、防积水以及消防等设施，各种管道、灯具、风口以及其它设施应当避免出现不易清洁的部位。</w:t>
      </w:r>
    </w:p>
    <w:p>
      <w:pPr>
        <w:pStyle w:val="3"/>
        <w:spacing w:before="0" w:beforeAutospacing="0" w:after="0" w:afterAutospacing="0" w:line="500" w:lineRule="exact"/>
        <w:ind w:firstLine="480" w:firstLineChars="200"/>
        <w:rPr>
          <w:rFonts w:hint="eastAsia"/>
          <w:spacing w:val="0"/>
          <w:highlight w:val="none"/>
        </w:rPr>
      </w:pPr>
      <w:r>
        <w:rPr>
          <w:rFonts w:hint="eastAsia"/>
          <w:spacing w:val="0"/>
          <w:highlight w:val="none"/>
        </w:rPr>
        <w:t>2.5煎药室应当配备完善的煎药设备设施，并根据实际需要配备储药设施、冷藏设施以及量杯（筒）、过滤装置、计时器、贮药容器、药瓶架等。</w:t>
      </w:r>
    </w:p>
    <w:p>
      <w:pPr>
        <w:pStyle w:val="3"/>
        <w:spacing w:before="0" w:beforeAutospacing="0" w:after="0" w:afterAutospacing="0" w:line="500" w:lineRule="exact"/>
        <w:ind w:firstLine="480" w:firstLineChars="200"/>
        <w:rPr>
          <w:rFonts w:hint="eastAsia"/>
          <w:spacing w:val="0"/>
          <w:highlight w:val="none"/>
        </w:rPr>
      </w:pPr>
      <w:r>
        <w:rPr>
          <w:rFonts w:hint="eastAsia"/>
          <w:spacing w:val="0"/>
          <w:highlight w:val="none"/>
        </w:rPr>
        <w:t>2.6煎药工作台面应当平整、洁净。</w:t>
      </w:r>
    </w:p>
    <w:p>
      <w:pPr>
        <w:pStyle w:val="3"/>
        <w:spacing w:before="0" w:beforeAutospacing="0" w:after="0" w:afterAutospacing="0" w:line="500" w:lineRule="exact"/>
        <w:ind w:firstLine="480" w:firstLineChars="200"/>
        <w:rPr>
          <w:rFonts w:hint="eastAsia"/>
          <w:spacing w:val="0"/>
          <w:highlight w:val="none"/>
        </w:rPr>
      </w:pPr>
      <w:r>
        <w:rPr>
          <w:rFonts w:hint="eastAsia"/>
          <w:spacing w:val="0"/>
          <w:highlight w:val="none"/>
        </w:rPr>
        <w:t>（1）煎药容器应当以陶瓷、不锈钢、铜等材料制作的器皿为宜，禁用铁制等易腐蚀器皿。</w:t>
      </w:r>
    </w:p>
    <w:p>
      <w:pPr>
        <w:pStyle w:val="3"/>
        <w:spacing w:before="0" w:beforeAutospacing="0" w:after="0" w:afterAutospacing="0" w:line="500" w:lineRule="exact"/>
        <w:ind w:firstLine="480" w:firstLineChars="200"/>
        <w:rPr>
          <w:rFonts w:hint="eastAsia"/>
          <w:spacing w:val="0"/>
          <w:highlight w:val="none"/>
        </w:rPr>
      </w:pPr>
      <w:r>
        <w:rPr>
          <w:rFonts w:hint="eastAsia"/>
          <w:spacing w:val="0"/>
          <w:highlight w:val="none"/>
        </w:rPr>
        <w:t>（2）储药容器应当做到防尘、防霉、防虫、防鼠、防污染。用前应当严格消毒，用后应当及时清洗。</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rPr>
        <w:t>煎药设备应根据业务发展情况逐步添加，以满足中药饮片、调剂、煎煮、临方加工膏方、免费物流配送等伴随服务。</w:t>
      </w:r>
    </w:p>
    <w:p>
      <w:pPr>
        <w:tabs>
          <w:tab w:val="left" w:pos="1815"/>
        </w:tabs>
        <w:spacing w:line="500" w:lineRule="exact"/>
        <w:ind w:firstLine="480" w:firstLineChars="200"/>
        <w:jc w:val="left"/>
        <w:rPr>
          <w:rFonts w:hint="eastAsia" w:ascii="宋体" w:hAnsi="宋体" w:cs="宋体"/>
          <w:spacing w:val="0"/>
          <w:sz w:val="24"/>
          <w:highlight w:val="none"/>
        </w:rPr>
      </w:pPr>
      <w:r>
        <w:rPr>
          <w:rFonts w:hint="eastAsia" w:ascii="宋体" w:hAnsi="宋体" w:cs="宋体"/>
          <w:color w:val="000000"/>
          <w:spacing w:val="0"/>
          <w:sz w:val="24"/>
        </w:rPr>
        <w:t>所有投入的软硬件设备设施在合同期内赣州市中医院拥有使用权，</w:t>
      </w:r>
      <w:r>
        <w:rPr>
          <w:rFonts w:hint="eastAsia" w:ascii="宋体" w:hAnsi="宋体" w:cs="宋体"/>
          <w:color w:val="000000"/>
          <w:spacing w:val="0"/>
          <w:sz w:val="24"/>
          <w:lang w:eastAsia="zh-CN"/>
        </w:rPr>
        <w:t>参选单位</w:t>
      </w:r>
      <w:r>
        <w:rPr>
          <w:rFonts w:hint="eastAsia" w:ascii="宋体" w:hAnsi="宋体" w:cs="宋体"/>
          <w:color w:val="000000"/>
          <w:spacing w:val="0"/>
          <w:sz w:val="24"/>
        </w:rPr>
        <w:t>需保障设备无故</w:t>
      </w:r>
      <w:r>
        <w:rPr>
          <w:rFonts w:hint="eastAsia" w:ascii="宋体" w:hAnsi="宋体" w:cs="宋体"/>
          <w:color w:val="000000"/>
          <w:spacing w:val="0"/>
          <w:sz w:val="24"/>
          <w:highlight w:val="none"/>
        </w:rPr>
        <w:t>障或出现故障时的应急方案。</w:t>
      </w:r>
      <w:r>
        <w:rPr>
          <w:rFonts w:hint="eastAsia" w:ascii="宋体" w:hAnsi="宋体" w:cs="宋体"/>
          <w:spacing w:val="0"/>
          <w:sz w:val="24"/>
          <w:highlight w:val="none"/>
        </w:rPr>
        <w:t>在服务期满后，</w:t>
      </w:r>
      <w:r>
        <w:rPr>
          <w:rFonts w:hint="eastAsia" w:ascii="宋体" w:hAnsi="宋体" w:cs="宋体"/>
          <w:spacing w:val="0"/>
          <w:sz w:val="24"/>
          <w:highlight w:val="none"/>
          <w:lang w:eastAsia="zh-CN"/>
        </w:rPr>
        <w:t>中选单位</w:t>
      </w:r>
      <w:r>
        <w:rPr>
          <w:rFonts w:hint="eastAsia" w:ascii="宋体" w:hAnsi="宋体" w:cs="宋体"/>
          <w:spacing w:val="0"/>
          <w:sz w:val="24"/>
          <w:highlight w:val="none"/>
        </w:rPr>
        <w:t>所投入软硬件设施所有权归</w:t>
      </w:r>
      <w:r>
        <w:rPr>
          <w:rFonts w:hint="eastAsia" w:ascii="宋体" w:hAnsi="宋体" w:cs="宋体"/>
          <w:spacing w:val="0"/>
          <w:sz w:val="24"/>
          <w:highlight w:val="none"/>
          <w:lang w:eastAsia="zh-CN"/>
        </w:rPr>
        <w:t>遴选单位</w:t>
      </w:r>
      <w:r>
        <w:rPr>
          <w:rFonts w:hint="eastAsia" w:ascii="宋体" w:hAnsi="宋体" w:cs="宋体"/>
          <w:spacing w:val="0"/>
          <w:sz w:val="24"/>
          <w:highlight w:val="none"/>
        </w:rPr>
        <w:t>所有。</w:t>
      </w:r>
    </w:p>
    <w:p>
      <w:pPr>
        <w:numPr>
          <w:ilvl w:val="0"/>
          <w:numId w:val="2"/>
        </w:numPr>
        <w:tabs>
          <w:tab w:val="left" w:pos="1815"/>
        </w:tabs>
        <w:spacing w:line="500" w:lineRule="exact"/>
        <w:ind w:firstLine="480" w:firstLineChars="200"/>
        <w:jc w:val="left"/>
        <w:rPr>
          <w:rFonts w:hint="eastAsia" w:ascii="宋体" w:hAnsi="宋体" w:cs="宋体"/>
          <w:spacing w:val="0"/>
          <w:sz w:val="24"/>
          <w:highlight w:val="none"/>
        </w:rPr>
      </w:pPr>
      <w:r>
        <w:rPr>
          <w:rFonts w:hint="eastAsia" w:ascii="宋体" w:hAnsi="宋体" w:cs="宋体"/>
          <w:spacing w:val="0"/>
          <w:sz w:val="24"/>
          <w:highlight w:val="none"/>
        </w:rPr>
        <w:t>人员配备：</w:t>
      </w:r>
      <w:r>
        <w:rPr>
          <w:rFonts w:hint="eastAsia" w:ascii="宋体" w:hAnsi="宋体" w:cs="宋体"/>
          <w:spacing w:val="0"/>
          <w:sz w:val="24"/>
          <w:highlight w:val="none"/>
          <w:lang w:eastAsia="zh-CN"/>
        </w:rPr>
        <w:t>中选单位</w:t>
      </w:r>
      <w:r>
        <w:rPr>
          <w:rFonts w:hint="eastAsia" w:ascii="宋体" w:hAnsi="宋体" w:cs="宋体"/>
          <w:spacing w:val="0"/>
          <w:sz w:val="24"/>
          <w:highlight w:val="none"/>
        </w:rPr>
        <w:t>需提供满足设备正常运转及</w:t>
      </w:r>
      <w:r>
        <w:rPr>
          <w:rFonts w:hint="eastAsia" w:ascii="宋体" w:hAnsi="宋体" w:cs="宋体"/>
          <w:color w:val="000000"/>
          <w:spacing w:val="0"/>
          <w:sz w:val="24"/>
          <w:highlight w:val="none"/>
        </w:rPr>
        <w:t>业务发展需要增加</w:t>
      </w:r>
      <w:r>
        <w:rPr>
          <w:rFonts w:hint="eastAsia" w:ascii="宋体" w:hAnsi="宋体" w:cs="宋体"/>
          <w:spacing w:val="0"/>
          <w:sz w:val="24"/>
          <w:highlight w:val="none"/>
        </w:rPr>
        <w:t>的人员配备，包括小包装调剂设备、浸泡煎煮设备、包装配送等岗位人员。</w:t>
      </w:r>
    </w:p>
    <w:p>
      <w:pPr>
        <w:pStyle w:val="3"/>
        <w:spacing w:before="0" w:beforeAutospacing="0" w:after="0" w:afterAutospacing="0" w:line="500" w:lineRule="exact"/>
        <w:ind w:firstLine="480" w:firstLineChars="200"/>
        <w:rPr>
          <w:rFonts w:hint="eastAsia"/>
          <w:spacing w:val="0"/>
          <w:highlight w:val="none"/>
        </w:rPr>
      </w:pPr>
      <w:r>
        <w:rPr>
          <w:rFonts w:hint="eastAsia"/>
          <w:spacing w:val="0"/>
          <w:highlight w:val="none"/>
        </w:rPr>
        <w:t>3.1、初期小包装饮片调剂室至少配备两名具备一定专业水平和设备操作经验的中药士具体负责调剂室设备操作、质量监督及组织管理工作。煎药室应当至少配备两名具备一定理论水平和实际操作经验的工人具体负责煎药室的设备维护及操作。</w:t>
      </w:r>
    </w:p>
    <w:p>
      <w:pPr>
        <w:pStyle w:val="3"/>
        <w:spacing w:before="0" w:beforeAutospacing="0" w:after="0" w:afterAutospacing="0" w:line="500" w:lineRule="exact"/>
        <w:ind w:firstLine="480" w:firstLineChars="200"/>
        <w:rPr>
          <w:rFonts w:hint="eastAsia"/>
          <w:spacing w:val="0"/>
          <w:highlight w:val="none"/>
        </w:rPr>
      </w:pPr>
      <w:r>
        <w:rPr>
          <w:rFonts w:hint="eastAsia"/>
          <w:spacing w:val="0"/>
          <w:highlight w:val="none"/>
        </w:rPr>
        <w:t>3.2、煎药人员应当经过中药煎药相关知识和技能培训并考核合格后方可从事中药煎药工作。煎药工作人员需有计划地接受相关专业知识和操作技能的岗位培训。</w:t>
      </w:r>
    </w:p>
    <w:p>
      <w:pPr>
        <w:pStyle w:val="3"/>
        <w:spacing w:before="0" w:beforeAutospacing="0" w:after="0" w:afterAutospacing="0" w:line="500" w:lineRule="exact"/>
        <w:ind w:firstLine="480" w:firstLineChars="200"/>
        <w:rPr>
          <w:rFonts w:hint="eastAsia"/>
          <w:spacing w:val="0"/>
          <w:highlight w:val="none"/>
        </w:rPr>
      </w:pPr>
      <w:r>
        <w:rPr>
          <w:rFonts w:hint="eastAsia"/>
          <w:spacing w:val="0"/>
          <w:highlight w:val="none"/>
        </w:rPr>
        <w:t>3.3、所配备人员应当每年至少体检一次。传染病、皮肤病等患者和乙肝病毒携带者、体表有伤口未愈合者不得从事药学工作。由</w:t>
      </w:r>
      <w:r>
        <w:rPr>
          <w:rFonts w:hint="eastAsia"/>
          <w:spacing w:val="0"/>
          <w:highlight w:val="none"/>
          <w:lang w:eastAsia="zh-CN"/>
        </w:rPr>
        <w:t>中选</w:t>
      </w:r>
      <w:r>
        <w:rPr>
          <w:rFonts w:hint="eastAsia"/>
          <w:spacing w:val="0"/>
          <w:highlight w:val="none"/>
        </w:rPr>
        <w:t>方负责配备人员的体检事宜。</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highlight w:val="none"/>
        </w:rPr>
        <w:t>4、系统应用培训：</w:t>
      </w:r>
      <w:r>
        <w:rPr>
          <w:rFonts w:hint="eastAsia" w:ascii="宋体" w:hAnsi="宋体" w:cs="宋体"/>
          <w:spacing w:val="0"/>
          <w:sz w:val="24"/>
          <w:highlight w:val="none"/>
          <w:lang w:eastAsia="zh-CN"/>
        </w:rPr>
        <w:t>中选单位</w:t>
      </w:r>
      <w:r>
        <w:rPr>
          <w:rFonts w:hint="eastAsia" w:ascii="宋体" w:hAnsi="宋体" w:cs="宋体"/>
          <w:color w:val="000000"/>
          <w:spacing w:val="0"/>
          <w:sz w:val="24"/>
          <w:highlight w:val="none"/>
        </w:rPr>
        <w:t>分期分批有计划、有组织、有步骤的提供</w:t>
      </w:r>
      <w:r>
        <w:rPr>
          <w:rFonts w:hint="eastAsia" w:ascii="宋体" w:hAnsi="宋体" w:cs="宋体"/>
          <w:color w:val="000000"/>
          <w:spacing w:val="0"/>
          <w:sz w:val="24"/>
        </w:rPr>
        <w:t>医务人员智慧中医药系统应用培训</w:t>
      </w:r>
      <w:bookmarkStart w:id="1" w:name="_Hlk129109916"/>
      <w:r>
        <w:rPr>
          <w:rFonts w:hint="eastAsia" w:ascii="宋体" w:hAnsi="宋体" w:cs="宋体"/>
          <w:color w:val="000000"/>
          <w:spacing w:val="0"/>
          <w:sz w:val="24"/>
        </w:rPr>
        <w:t>。</w:t>
      </w:r>
    </w:p>
    <w:bookmarkEnd w:id="1"/>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rPr>
        <w:t>5、加工及配送：需确保智慧中药房处方日清，患者中药饮片处方代煎或代配的，中心城区内（章贡区、经济技术开发区、蓉江新区）上午处方下午免费送达，下午处方第二天上午免费送达；保证中心城区外上午处方当天快递发出，下午处方隔天快递发出，快递发出药品需冷链运输。</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lang w:val="en-US" w:eastAsia="zh-CN"/>
        </w:rPr>
        <w:t>6</w:t>
      </w:r>
      <w:r>
        <w:rPr>
          <w:rFonts w:hint="eastAsia" w:ascii="宋体" w:hAnsi="宋体" w:cs="宋体"/>
          <w:color w:val="000000"/>
          <w:spacing w:val="0"/>
          <w:sz w:val="24"/>
        </w:rPr>
        <w:t>、中药饮片配送及质量</w:t>
      </w:r>
    </w:p>
    <w:p>
      <w:pPr>
        <w:spacing w:line="500" w:lineRule="exact"/>
        <w:ind w:firstLine="480" w:firstLineChars="200"/>
        <w:jc w:val="left"/>
        <w:rPr>
          <w:rFonts w:hint="eastAsia" w:ascii="宋体" w:hAnsi="宋体" w:cs="宋体"/>
          <w:spacing w:val="0"/>
          <w:sz w:val="24"/>
          <w:highlight w:val="none"/>
        </w:rPr>
      </w:pPr>
      <w:r>
        <w:rPr>
          <w:rFonts w:hint="eastAsia" w:ascii="宋体" w:hAnsi="宋体" w:cs="宋体"/>
          <w:color w:val="000000"/>
          <w:spacing w:val="0"/>
          <w:sz w:val="24"/>
          <w:lang w:val="en-US" w:eastAsia="zh-CN"/>
        </w:rPr>
        <w:t>6</w:t>
      </w:r>
      <w:r>
        <w:rPr>
          <w:rFonts w:hint="eastAsia" w:ascii="宋体" w:hAnsi="宋体" w:cs="宋体"/>
          <w:color w:val="000000"/>
          <w:spacing w:val="0"/>
          <w:sz w:val="24"/>
        </w:rPr>
        <w:t>.1、中药饮片规格、质量标准及价格要求：所有配送的中药饮片品种，应执行赣州市中医医院规格等级要求（附件1），饮片质量应满足赣州市中医院饮片质量标准、《中国药典》现行版和</w:t>
      </w:r>
      <w:r>
        <w:rPr>
          <w:rFonts w:hint="eastAsia" w:ascii="宋体" w:hAnsi="宋体" w:cs="宋体"/>
          <w:spacing w:val="0"/>
          <w:sz w:val="24"/>
        </w:rPr>
        <w:t>各省市《中药饮</w:t>
      </w:r>
      <w:r>
        <w:rPr>
          <w:rFonts w:hint="eastAsia" w:ascii="宋体" w:hAnsi="宋体" w:cs="宋体"/>
          <w:spacing w:val="0"/>
          <w:sz w:val="24"/>
          <w:highlight w:val="none"/>
        </w:rPr>
        <w:t>片炮制规范》（最新版）</w:t>
      </w:r>
      <w:r>
        <w:rPr>
          <w:rFonts w:hint="eastAsia" w:ascii="宋体" w:hAnsi="宋体" w:cs="宋体"/>
          <w:color w:val="000000"/>
          <w:spacing w:val="0"/>
          <w:sz w:val="24"/>
          <w:highlight w:val="none"/>
        </w:rPr>
        <w:t>要求。应能提供高标准选货、可溯源的道地中药饮片小包装，满足不同人群需求。</w:t>
      </w:r>
      <w:r>
        <w:rPr>
          <w:rFonts w:hint="eastAsia" w:ascii="宋体" w:hAnsi="宋体" w:cs="宋体"/>
          <w:spacing w:val="0"/>
          <w:sz w:val="24"/>
          <w:highlight w:val="none"/>
        </w:rPr>
        <w:t>合同履约过程中发现品种不符合参</w:t>
      </w:r>
      <w:r>
        <w:rPr>
          <w:rFonts w:hint="eastAsia" w:ascii="宋体" w:hAnsi="宋体" w:cs="宋体"/>
          <w:spacing w:val="0"/>
          <w:sz w:val="24"/>
          <w:highlight w:val="none"/>
          <w:lang w:eastAsia="zh-CN"/>
        </w:rPr>
        <w:t>评选</w:t>
      </w:r>
      <w:r>
        <w:rPr>
          <w:rFonts w:hint="eastAsia" w:ascii="宋体" w:hAnsi="宋体" w:cs="宋体"/>
          <w:spacing w:val="0"/>
          <w:sz w:val="24"/>
          <w:highlight w:val="none"/>
        </w:rPr>
        <w:t>准</w:t>
      </w:r>
      <w:r>
        <w:rPr>
          <w:rFonts w:hint="eastAsia" w:ascii="宋体" w:hAnsi="宋体" w:cs="宋体"/>
          <w:color w:val="000000"/>
          <w:spacing w:val="0"/>
          <w:sz w:val="24"/>
          <w:highlight w:val="none"/>
        </w:rPr>
        <w:t>要求达三次，</w:t>
      </w:r>
      <w:r>
        <w:rPr>
          <w:rFonts w:hint="eastAsia" w:ascii="宋体" w:hAnsi="宋体" w:cs="宋体"/>
          <w:spacing w:val="0"/>
          <w:sz w:val="24"/>
          <w:highlight w:val="none"/>
        </w:rPr>
        <w:t>可对此品种销售金额</w:t>
      </w:r>
      <w:r>
        <w:rPr>
          <w:rFonts w:hint="eastAsia" w:ascii="宋体" w:hAnsi="宋体" w:cs="宋体"/>
          <w:color w:val="000000"/>
          <w:spacing w:val="0"/>
          <w:sz w:val="24"/>
          <w:highlight w:val="none"/>
        </w:rPr>
        <w:t>的50%</w:t>
      </w:r>
      <w:r>
        <w:rPr>
          <w:rFonts w:hint="eastAsia" w:ascii="宋体" w:hAnsi="宋体" w:cs="宋体"/>
          <w:spacing w:val="0"/>
          <w:sz w:val="24"/>
          <w:highlight w:val="none"/>
        </w:rPr>
        <w:t>进行处罚，10个及以上品种不符合参</w:t>
      </w:r>
      <w:r>
        <w:rPr>
          <w:rFonts w:hint="eastAsia" w:ascii="宋体" w:hAnsi="宋体" w:cs="宋体"/>
          <w:spacing w:val="0"/>
          <w:sz w:val="24"/>
          <w:highlight w:val="none"/>
          <w:lang w:eastAsia="zh-CN"/>
        </w:rPr>
        <w:t>评选</w:t>
      </w:r>
      <w:r>
        <w:rPr>
          <w:rFonts w:hint="eastAsia" w:ascii="宋体" w:hAnsi="宋体" w:cs="宋体"/>
          <w:spacing w:val="0"/>
          <w:sz w:val="24"/>
          <w:highlight w:val="none"/>
        </w:rPr>
        <w:t>准</w:t>
      </w:r>
      <w:r>
        <w:rPr>
          <w:rFonts w:hint="eastAsia" w:ascii="宋体" w:hAnsi="宋体" w:cs="宋体"/>
          <w:spacing w:val="0"/>
          <w:sz w:val="24"/>
          <w:highlight w:val="none"/>
          <w:lang w:eastAsia="zh-CN"/>
        </w:rPr>
        <w:t>遴选单位</w:t>
      </w:r>
      <w:r>
        <w:rPr>
          <w:rFonts w:hint="eastAsia" w:ascii="宋体" w:hAnsi="宋体" w:cs="宋体"/>
          <w:spacing w:val="0"/>
          <w:sz w:val="24"/>
          <w:highlight w:val="none"/>
        </w:rPr>
        <w:t>有权终止合同。</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lang w:val="en-US" w:eastAsia="zh-CN"/>
        </w:rPr>
        <w:t>6</w:t>
      </w:r>
      <w:r>
        <w:rPr>
          <w:rFonts w:hint="eastAsia" w:ascii="宋体" w:hAnsi="宋体" w:cs="宋体"/>
          <w:color w:val="000000"/>
          <w:spacing w:val="0"/>
          <w:sz w:val="24"/>
        </w:rPr>
        <w:t>.1.1中药饮片不得出现虫蛀、霉变、走油等变质现象。有效成分、杂质、水分、灰分、非药用部位、辅料、重金属含量、农药残留量以及二氧化硫含量等指标应符合《中国药典》现行版标准要求。</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lang w:val="en-US" w:eastAsia="zh-CN"/>
        </w:rPr>
        <w:t>6</w:t>
      </w:r>
      <w:r>
        <w:rPr>
          <w:rFonts w:hint="eastAsia" w:ascii="宋体" w:hAnsi="宋体" w:cs="宋体"/>
          <w:color w:val="000000"/>
          <w:spacing w:val="0"/>
          <w:sz w:val="24"/>
        </w:rPr>
        <w:t>.1.2饮片包装外观整洁，不得出现细末太多的情况。</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lang w:val="en-US" w:eastAsia="zh-CN"/>
        </w:rPr>
        <w:t>6</w:t>
      </w:r>
      <w:r>
        <w:rPr>
          <w:rFonts w:hint="eastAsia" w:ascii="宋体" w:hAnsi="宋体" w:cs="宋体"/>
          <w:color w:val="000000"/>
          <w:spacing w:val="0"/>
          <w:sz w:val="24"/>
        </w:rPr>
        <w:t>.1.3中药饮片包装必须使用无毒、无害、透明并符合食用标准的塑料材质严密包装，外包装可溯源小包装道地饮片产地、炮制时间、生产总量、质检信息等信息。</w:t>
      </w:r>
    </w:p>
    <w:p>
      <w:pPr>
        <w:tabs>
          <w:tab w:val="left" w:pos="1815"/>
        </w:tabs>
        <w:spacing w:line="500" w:lineRule="exact"/>
        <w:ind w:firstLine="480" w:firstLineChars="200"/>
        <w:jc w:val="left"/>
        <w:rPr>
          <w:rFonts w:ascii="宋体" w:hAnsi="宋体" w:cs="宋体"/>
          <w:b/>
          <w:bCs/>
          <w:color w:val="000000"/>
          <w:spacing w:val="0"/>
          <w:sz w:val="24"/>
        </w:rPr>
      </w:pPr>
      <w:r>
        <w:rPr>
          <w:rFonts w:hint="eastAsia" w:ascii="宋体" w:hAnsi="宋体" w:cs="宋体"/>
          <w:color w:val="000000"/>
          <w:spacing w:val="0"/>
          <w:sz w:val="24"/>
          <w:lang w:val="en-US" w:eastAsia="zh-CN"/>
        </w:rPr>
        <w:t>6</w:t>
      </w:r>
      <w:r>
        <w:rPr>
          <w:rFonts w:hint="eastAsia" w:ascii="宋体" w:hAnsi="宋体" w:cs="宋体"/>
          <w:color w:val="000000"/>
          <w:spacing w:val="0"/>
          <w:sz w:val="24"/>
        </w:rPr>
        <w:t>.1.4中药饮片生产企业标签应注明品名、产地、规格、生产企业名称、生产许可证号、产品批号、生产日期，并有质量合格的标志，实施批准文号管理的中药饮片必须注明批准文号。每种中药饮片配送时需将质量检测报告随货同行。</w:t>
      </w:r>
      <w:r>
        <w:rPr>
          <w:rFonts w:hint="eastAsia" w:ascii="宋体" w:hAnsi="宋体" w:cs="宋体"/>
          <w:b/>
          <w:bCs/>
          <w:color w:val="000000"/>
          <w:spacing w:val="0"/>
          <w:sz w:val="24"/>
        </w:rPr>
        <w:t>（为防止药品生产厂家过于杂乱，无法保障药品质量，</w:t>
      </w:r>
      <w:r>
        <w:rPr>
          <w:rFonts w:hint="eastAsia" w:ascii="宋体" w:hAnsi="宋体" w:cs="宋体"/>
          <w:b/>
          <w:bCs/>
          <w:color w:val="000000"/>
          <w:spacing w:val="0"/>
          <w:sz w:val="24"/>
          <w:lang w:eastAsia="zh-CN"/>
        </w:rPr>
        <w:t>中选单位</w:t>
      </w:r>
      <w:r>
        <w:rPr>
          <w:rFonts w:hint="eastAsia" w:ascii="宋体" w:hAnsi="宋体" w:cs="宋体"/>
          <w:b/>
          <w:bCs/>
          <w:color w:val="000000"/>
          <w:spacing w:val="0"/>
          <w:sz w:val="24"/>
        </w:rPr>
        <w:t>为其所供中药饮片90%（含）以上须确保在同一生产厂家</w:t>
      </w:r>
      <w:r>
        <w:rPr>
          <w:rFonts w:hint="eastAsia" w:ascii="宋体" w:hAnsi="宋体" w:cs="宋体"/>
          <w:b/>
          <w:bCs/>
          <w:color w:val="000000"/>
          <w:spacing w:val="0"/>
          <w:sz w:val="24"/>
          <w:lang w:eastAsia="zh-CN"/>
        </w:rPr>
        <w:t>生产</w:t>
      </w:r>
      <w:r>
        <w:rPr>
          <w:rFonts w:hint="eastAsia" w:ascii="宋体" w:hAnsi="宋体" w:cs="宋体"/>
          <w:b/>
          <w:bCs/>
          <w:color w:val="000000"/>
          <w:spacing w:val="0"/>
          <w:sz w:val="24"/>
        </w:rPr>
        <w:t>）</w:t>
      </w:r>
    </w:p>
    <w:p>
      <w:pPr>
        <w:tabs>
          <w:tab w:val="left" w:pos="1815"/>
        </w:tabs>
        <w:spacing w:line="500" w:lineRule="exact"/>
        <w:ind w:firstLine="480" w:firstLineChars="200"/>
        <w:jc w:val="left"/>
        <w:rPr>
          <w:rFonts w:hint="eastAsia" w:ascii="宋体" w:hAnsi="宋体" w:cs="宋体"/>
          <w:spacing w:val="0"/>
          <w:sz w:val="24"/>
        </w:rPr>
      </w:pPr>
      <w:r>
        <w:rPr>
          <w:rFonts w:hint="eastAsia" w:ascii="宋体" w:hAnsi="宋体" w:cs="宋体"/>
          <w:spacing w:val="0"/>
          <w:sz w:val="24"/>
          <w:lang w:val="en-US" w:eastAsia="zh-CN"/>
        </w:rPr>
        <w:t>6</w:t>
      </w:r>
      <w:r>
        <w:rPr>
          <w:rFonts w:hint="eastAsia" w:ascii="宋体" w:hAnsi="宋体" w:cs="宋体"/>
          <w:spacing w:val="0"/>
          <w:sz w:val="24"/>
        </w:rPr>
        <w:t>.1.5对特许生产和经营的中药饮片需符合国家相关文件，要求能供应毒性饮片、动物类饮片、管制类饮片需要具备相应的经营资质。</w:t>
      </w:r>
    </w:p>
    <w:p>
      <w:pPr>
        <w:tabs>
          <w:tab w:val="left" w:pos="1815"/>
        </w:tabs>
        <w:spacing w:line="500" w:lineRule="exact"/>
        <w:ind w:firstLine="480" w:firstLineChars="200"/>
        <w:jc w:val="left"/>
        <w:rPr>
          <w:rFonts w:hint="eastAsia" w:ascii="宋体" w:hAnsi="宋体" w:cs="宋体"/>
          <w:spacing w:val="0"/>
          <w:sz w:val="24"/>
        </w:rPr>
      </w:pPr>
      <w:r>
        <w:rPr>
          <w:rFonts w:hint="eastAsia" w:ascii="宋体" w:hAnsi="宋体" w:cs="宋体"/>
          <w:spacing w:val="0"/>
          <w:sz w:val="24"/>
          <w:lang w:val="en-US" w:eastAsia="zh-CN"/>
        </w:rPr>
        <w:t>6</w:t>
      </w:r>
      <w:r>
        <w:rPr>
          <w:rFonts w:hint="eastAsia" w:ascii="宋体" w:hAnsi="宋体" w:cs="宋体"/>
          <w:spacing w:val="0"/>
          <w:sz w:val="24"/>
        </w:rPr>
        <w:t>.1.6 中药饮片生产企业应具有中药饮片相关检测设备，至少包含</w:t>
      </w:r>
      <w:r>
        <w:rPr>
          <w:rFonts w:hint="eastAsia" w:ascii="宋体" w:hAnsi="宋体" w:cs="宋体"/>
          <w:color w:val="000000"/>
          <w:spacing w:val="0"/>
          <w:sz w:val="24"/>
        </w:rPr>
        <w:t>重金属含量、农药残留量、二氧化硫、水分的检测设备。</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lang w:val="en-US" w:eastAsia="zh-CN"/>
        </w:rPr>
        <w:t>6</w:t>
      </w:r>
      <w:r>
        <w:rPr>
          <w:rFonts w:hint="eastAsia" w:ascii="宋体" w:hAnsi="宋体" w:cs="宋体"/>
          <w:color w:val="000000"/>
          <w:spacing w:val="0"/>
          <w:sz w:val="24"/>
        </w:rPr>
        <w:t>.1.7中药饮片目录编制应符合医保目录规定。</w:t>
      </w:r>
    </w:p>
    <w:p>
      <w:pPr>
        <w:tabs>
          <w:tab w:val="left" w:pos="1815"/>
        </w:tabs>
        <w:spacing w:line="500" w:lineRule="exact"/>
        <w:ind w:firstLine="480" w:firstLineChars="200"/>
        <w:jc w:val="left"/>
        <w:rPr>
          <w:rFonts w:hint="eastAsia" w:ascii="宋体" w:hAnsi="宋体" w:cs="宋体"/>
          <w:color w:val="000000"/>
          <w:spacing w:val="0"/>
          <w:sz w:val="24"/>
          <w:lang w:val="en-US" w:eastAsia="zh-CN"/>
        </w:rPr>
      </w:pPr>
      <w:r>
        <w:rPr>
          <w:rFonts w:hint="eastAsia" w:ascii="宋体" w:hAnsi="宋体" w:cs="宋体"/>
          <w:color w:val="000000"/>
          <w:spacing w:val="0"/>
          <w:sz w:val="24"/>
          <w:lang w:val="en-US" w:eastAsia="zh-CN"/>
        </w:rPr>
        <w:t>6.1.8中药饮片品种供应及时：赣州市中医院月度常规采购需求计划需在3日内配送到位；急缺品种24小时内配送到位。如有缺货需在收到采购计划1日内反馈赣州市中医院采购人员，医院有权从其他供应商处应急采购缺货品种。</w:t>
      </w:r>
    </w:p>
    <w:p>
      <w:pPr>
        <w:tabs>
          <w:tab w:val="left" w:pos="1815"/>
        </w:tabs>
        <w:spacing w:line="500" w:lineRule="exact"/>
        <w:ind w:firstLine="480" w:firstLineChars="200"/>
        <w:jc w:val="left"/>
        <w:rPr>
          <w:rFonts w:hint="eastAsia" w:ascii="宋体" w:hAnsi="宋体" w:cs="宋体"/>
          <w:color w:val="000000"/>
          <w:spacing w:val="0"/>
          <w:sz w:val="24"/>
          <w:lang w:val="en-US" w:eastAsia="zh-CN"/>
        </w:rPr>
      </w:pPr>
      <w:r>
        <w:rPr>
          <w:rFonts w:hint="eastAsia" w:ascii="宋体" w:hAnsi="宋体" w:cs="宋体"/>
          <w:color w:val="000000"/>
          <w:spacing w:val="0"/>
          <w:sz w:val="24"/>
          <w:lang w:val="en-US" w:eastAsia="zh-CN"/>
        </w:rPr>
        <w:t>7.能协助医院建设中药文化展览馆服务，在医院提供的场地内提供中药塑化标本、炮制工具、文化展板等，并提供相关建设方案。</w:t>
      </w:r>
    </w:p>
    <w:p>
      <w:pPr>
        <w:tabs>
          <w:tab w:val="left" w:pos="1815"/>
        </w:tabs>
        <w:spacing w:line="500" w:lineRule="exact"/>
        <w:ind w:firstLine="480" w:firstLineChars="200"/>
        <w:jc w:val="left"/>
        <w:rPr>
          <w:rFonts w:hint="eastAsia" w:ascii="宋体" w:hAnsi="宋体" w:cs="宋体"/>
          <w:color w:val="000000"/>
          <w:spacing w:val="0"/>
          <w:sz w:val="24"/>
          <w:lang w:val="en-US" w:eastAsia="zh-CN"/>
        </w:rPr>
      </w:pPr>
      <w:r>
        <w:rPr>
          <w:rFonts w:hint="eastAsia" w:ascii="宋体" w:hAnsi="宋体" w:cs="宋体"/>
          <w:color w:val="000000"/>
          <w:spacing w:val="0"/>
          <w:sz w:val="24"/>
          <w:lang w:val="en-US" w:eastAsia="zh-CN"/>
        </w:rPr>
        <w:t>四、其他要求</w:t>
      </w:r>
    </w:p>
    <w:p>
      <w:pPr>
        <w:tabs>
          <w:tab w:val="left" w:pos="1815"/>
        </w:tabs>
        <w:spacing w:line="500" w:lineRule="exact"/>
        <w:ind w:firstLine="480" w:firstLineChars="200"/>
        <w:jc w:val="left"/>
        <w:rPr>
          <w:rFonts w:hint="eastAsia" w:ascii="宋体" w:hAnsi="宋体" w:cs="宋体"/>
          <w:color w:val="000000"/>
          <w:spacing w:val="0"/>
          <w:sz w:val="24"/>
          <w:lang w:val="en-US" w:eastAsia="zh-CN"/>
        </w:rPr>
      </w:pPr>
      <w:r>
        <w:rPr>
          <w:rFonts w:hint="eastAsia" w:ascii="宋体" w:hAnsi="宋体" w:cs="宋体"/>
          <w:color w:val="000000"/>
          <w:spacing w:val="0"/>
          <w:sz w:val="24"/>
          <w:lang w:val="en-US" w:eastAsia="zh-CN"/>
        </w:rPr>
        <w:t>1、中选单位需在2月内提供本遴选内容及要求中（三）服务内容及要求所有供应及伴随服务。</w:t>
      </w:r>
    </w:p>
    <w:p>
      <w:pPr>
        <w:tabs>
          <w:tab w:val="left" w:pos="1815"/>
        </w:tabs>
        <w:spacing w:line="500" w:lineRule="exact"/>
        <w:ind w:firstLine="480" w:firstLineChars="200"/>
        <w:jc w:val="left"/>
        <w:rPr>
          <w:rFonts w:hint="eastAsia" w:ascii="宋体" w:hAnsi="宋体" w:cs="宋体"/>
          <w:color w:val="000000"/>
          <w:spacing w:val="0"/>
          <w:sz w:val="24"/>
          <w:highlight w:val="none"/>
        </w:rPr>
      </w:pPr>
      <w:r>
        <w:rPr>
          <w:rFonts w:hint="eastAsia" w:ascii="宋体" w:hAnsi="宋体" w:cs="宋体"/>
          <w:color w:val="000000"/>
          <w:spacing w:val="0"/>
          <w:sz w:val="24"/>
          <w:highlight w:val="none"/>
        </w:rPr>
        <w:t>2、</w:t>
      </w:r>
      <w:r>
        <w:rPr>
          <w:rFonts w:hint="eastAsia" w:ascii="宋体" w:hAnsi="宋体" w:cs="宋体"/>
          <w:spacing w:val="0"/>
          <w:sz w:val="24"/>
          <w:highlight w:val="none"/>
        </w:rPr>
        <w:t>为本项目配备业务拓展人员，逐步拓展基层服务单位，提升中医药服务能力。</w:t>
      </w:r>
    </w:p>
    <w:p>
      <w:pPr>
        <w:tabs>
          <w:tab w:val="left" w:pos="1815"/>
        </w:tabs>
        <w:spacing w:line="500" w:lineRule="exact"/>
        <w:ind w:firstLine="480" w:firstLineChars="200"/>
        <w:jc w:val="left"/>
        <w:rPr>
          <w:rFonts w:hint="eastAsia" w:ascii="宋体" w:hAnsi="宋体" w:cs="宋体"/>
          <w:spacing w:val="0"/>
          <w:sz w:val="24"/>
          <w:highlight w:val="none"/>
        </w:rPr>
      </w:pPr>
      <w:r>
        <w:rPr>
          <w:rFonts w:hint="eastAsia" w:ascii="宋体" w:hAnsi="宋体" w:cs="宋体"/>
          <w:spacing w:val="0"/>
          <w:sz w:val="24"/>
          <w:highlight w:val="none"/>
        </w:rPr>
        <w:t>3、</w:t>
      </w:r>
      <w:r>
        <w:rPr>
          <w:rFonts w:hint="eastAsia" w:ascii="宋体" w:hAnsi="宋体" w:cs="宋体"/>
          <w:color w:val="000000"/>
          <w:spacing w:val="0"/>
          <w:sz w:val="24"/>
          <w:highlight w:val="none"/>
        </w:rPr>
        <w:t>确保供应中药饮片质量合格，在验收、抽检过程中出现任何质量问题由</w:t>
      </w:r>
      <w:r>
        <w:rPr>
          <w:rFonts w:hint="eastAsia" w:ascii="宋体" w:hAnsi="宋体" w:cs="宋体"/>
          <w:color w:val="000000"/>
          <w:spacing w:val="0"/>
          <w:sz w:val="24"/>
          <w:highlight w:val="none"/>
          <w:lang w:eastAsia="zh-CN"/>
        </w:rPr>
        <w:t>中选单位</w:t>
      </w:r>
      <w:r>
        <w:rPr>
          <w:rFonts w:hint="eastAsia" w:ascii="宋体" w:hAnsi="宋体" w:cs="宋体"/>
          <w:color w:val="000000"/>
          <w:spacing w:val="0"/>
          <w:sz w:val="24"/>
          <w:highlight w:val="none"/>
        </w:rPr>
        <w:t>负责任。因产品质量问题对采购人造成的一切损失，由</w:t>
      </w:r>
      <w:r>
        <w:rPr>
          <w:rFonts w:hint="eastAsia" w:ascii="宋体" w:hAnsi="宋体" w:cs="宋体"/>
          <w:color w:val="000000"/>
          <w:spacing w:val="0"/>
          <w:sz w:val="24"/>
          <w:highlight w:val="none"/>
          <w:lang w:eastAsia="zh-CN"/>
        </w:rPr>
        <w:t>中选单位</w:t>
      </w:r>
      <w:r>
        <w:rPr>
          <w:rFonts w:hint="eastAsia" w:ascii="宋体" w:hAnsi="宋体" w:cs="宋体"/>
          <w:color w:val="000000"/>
          <w:spacing w:val="0"/>
          <w:sz w:val="24"/>
          <w:highlight w:val="none"/>
        </w:rPr>
        <w:t>承担全部责任。</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highlight w:val="none"/>
        </w:rPr>
        <w:t>4、无故不响应上述服务要求，赣州市中医院有权终</w:t>
      </w:r>
      <w:r>
        <w:rPr>
          <w:rFonts w:hint="eastAsia" w:ascii="宋体" w:hAnsi="宋体" w:cs="宋体"/>
          <w:color w:val="000000"/>
          <w:spacing w:val="0"/>
          <w:sz w:val="24"/>
        </w:rPr>
        <w:t>止合同。</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rPr>
        <w:t>5、合</w:t>
      </w:r>
      <w:r>
        <w:rPr>
          <w:rFonts w:hint="eastAsia" w:ascii="宋体" w:hAnsi="宋体" w:cs="宋体"/>
          <w:color w:val="000000"/>
          <w:spacing w:val="0"/>
          <w:sz w:val="24"/>
          <w:highlight w:val="none"/>
        </w:rPr>
        <w:t>同服务期满</w:t>
      </w:r>
      <w:r>
        <w:rPr>
          <w:rFonts w:hint="eastAsia" w:ascii="宋体" w:hAnsi="宋体" w:cs="宋体"/>
          <w:color w:val="000000"/>
          <w:spacing w:val="0"/>
          <w:sz w:val="24"/>
          <w:highlight w:val="none"/>
          <w:lang w:eastAsia="zh-CN"/>
        </w:rPr>
        <w:t>或因中选单位未完全履行合同议务而导致的合同终止，中选单位</w:t>
      </w:r>
      <w:r>
        <w:rPr>
          <w:rFonts w:hint="eastAsia" w:ascii="宋体" w:hAnsi="宋体" w:cs="宋体"/>
          <w:color w:val="000000"/>
          <w:spacing w:val="0"/>
          <w:sz w:val="24"/>
        </w:rPr>
        <w:t>有义务协助赣州市中医院保障现有智慧中药房服务不中断直至采购人完成智慧中药房软硬件更新。（</w:t>
      </w:r>
      <w:r>
        <w:rPr>
          <w:rFonts w:hint="eastAsia" w:ascii="宋体" w:hAnsi="宋体" w:cs="宋体"/>
          <w:color w:val="000000"/>
          <w:spacing w:val="0"/>
          <w:sz w:val="24"/>
          <w:lang w:eastAsia="zh-CN"/>
        </w:rPr>
        <w:t>遴选</w:t>
      </w:r>
      <w:r>
        <w:rPr>
          <w:rFonts w:hint="eastAsia" w:ascii="宋体" w:hAnsi="宋体" w:cs="宋体"/>
          <w:color w:val="000000"/>
          <w:spacing w:val="0"/>
          <w:sz w:val="24"/>
        </w:rPr>
        <w:t>时提供承诺函）</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rPr>
        <w:t>6、 退换货处理：对于滞销药品，采购人可无理由退换货。如</w:t>
      </w:r>
      <w:r>
        <w:rPr>
          <w:rFonts w:hint="eastAsia" w:ascii="宋体" w:hAnsi="宋体" w:cs="宋体"/>
          <w:color w:val="000000"/>
          <w:spacing w:val="0"/>
          <w:sz w:val="24"/>
          <w:lang w:eastAsia="zh-CN"/>
        </w:rPr>
        <w:t>中选单位</w:t>
      </w:r>
      <w:r>
        <w:rPr>
          <w:rFonts w:hint="eastAsia" w:ascii="宋体" w:hAnsi="宋体" w:cs="宋体"/>
          <w:color w:val="000000"/>
          <w:spacing w:val="0"/>
          <w:sz w:val="24"/>
        </w:rPr>
        <w:t xml:space="preserve">不予退货，从即日起暂停回款，直至退货完成为止。 </w:t>
      </w:r>
    </w:p>
    <w:p>
      <w:pPr>
        <w:tabs>
          <w:tab w:val="left" w:pos="1815"/>
        </w:tabs>
        <w:spacing w:line="500" w:lineRule="exact"/>
        <w:ind w:firstLine="480" w:firstLineChars="200"/>
        <w:jc w:val="left"/>
        <w:rPr>
          <w:rFonts w:hint="eastAsia" w:ascii="宋体" w:hAnsi="宋体" w:cs="宋体"/>
          <w:color w:val="000000"/>
          <w:spacing w:val="0"/>
          <w:sz w:val="24"/>
        </w:rPr>
      </w:pPr>
      <w:r>
        <w:rPr>
          <w:rFonts w:hint="eastAsia" w:ascii="宋体" w:hAnsi="宋体" w:cs="宋体"/>
          <w:color w:val="000000"/>
          <w:spacing w:val="0"/>
          <w:sz w:val="24"/>
        </w:rPr>
        <w:t>7、</w:t>
      </w:r>
      <w:r>
        <w:rPr>
          <w:rFonts w:hint="eastAsia" w:ascii="宋体" w:hAnsi="宋体" w:cs="宋体"/>
          <w:color w:val="000000"/>
          <w:spacing w:val="0"/>
          <w:sz w:val="24"/>
          <w:lang w:eastAsia="zh-CN"/>
        </w:rPr>
        <w:t>中选单位</w:t>
      </w:r>
      <w:r>
        <w:rPr>
          <w:rFonts w:hint="eastAsia" w:ascii="宋体" w:hAnsi="宋体" w:cs="宋体"/>
          <w:color w:val="000000"/>
          <w:spacing w:val="0"/>
          <w:sz w:val="24"/>
        </w:rPr>
        <w:t>在设备/耗材/货物到货、维保期间应接受采购人管理，应采取严格的安全措施，承担由于自身原因所造成的事故责任及其发生的一切费用。</w:t>
      </w:r>
    </w:p>
    <w:p>
      <w:pPr>
        <w:tabs>
          <w:tab w:val="left" w:pos="1815"/>
        </w:tabs>
        <w:spacing w:line="500" w:lineRule="exact"/>
        <w:ind w:firstLine="480" w:firstLineChars="200"/>
        <w:jc w:val="left"/>
        <w:rPr>
          <w:rFonts w:hint="eastAsia" w:ascii="宋体" w:hAnsi="宋体" w:cs="宋体"/>
          <w:spacing w:val="0"/>
          <w:sz w:val="24"/>
        </w:rPr>
      </w:pPr>
      <w:r>
        <w:rPr>
          <w:rFonts w:hint="eastAsia" w:ascii="宋体" w:hAnsi="宋体" w:cs="宋体"/>
          <w:spacing w:val="0"/>
          <w:sz w:val="24"/>
        </w:rPr>
        <w:t>8、在服务期内如小包中药饮片纳入集中采购的，需按集中采购相关规定执行。</w:t>
      </w:r>
    </w:p>
    <w:p>
      <w:pPr>
        <w:tabs>
          <w:tab w:val="left" w:pos="1815"/>
        </w:tabs>
        <w:spacing w:line="500" w:lineRule="exact"/>
        <w:ind w:firstLine="480" w:firstLineChars="200"/>
        <w:jc w:val="left"/>
        <w:rPr>
          <w:rFonts w:hint="eastAsia" w:ascii="宋体" w:hAnsi="宋体" w:cs="宋体"/>
          <w:spacing w:val="0"/>
          <w:sz w:val="24"/>
          <w:highlight w:val="none"/>
        </w:rPr>
      </w:pPr>
      <w:r>
        <w:rPr>
          <w:rFonts w:hint="eastAsia" w:ascii="宋体" w:hAnsi="宋体" w:cs="宋体"/>
          <w:spacing w:val="0"/>
          <w:sz w:val="24"/>
        </w:rPr>
        <w:t>9、服务期内如有国家、省、市、区（县）关于小包装中药饮片政策调整，则按国</w:t>
      </w:r>
      <w:r>
        <w:rPr>
          <w:rFonts w:hint="eastAsia" w:ascii="宋体" w:hAnsi="宋体" w:cs="宋体"/>
          <w:spacing w:val="0"/>
          <w:sz w:val="24"/>
          <w:highlight w:val="none"/>
        </w:rPr>
        <w:t>家、省、市、区（县）政策要求执行，双方另行协商合作模式。</w:t>
      </w:r>
    </w:p>
    <w:p>
      <w:pPr>
        <w:tabs>
          <w:tab w:val="left" w:pos="1815"/>
        </w:tabs>
        <w:spacing w:line="500" w:lineRule="exact"/>
        <w:ind w:firstLine="480" w:firstLineChars="200"/>
        <w:jc w:val="left"/>
        <w:rPr>
          <w:rFonts w:hint="eastAsia" w:ascii="宋体" w:hAnsi="宋体" w:cs="宋体"/>
          <w:spacing w:val="0"/>
          <w:sz w:val="24"/>
          <w:highlight w:val="none"/>
        </w:rPr>
      </w:pPr>
      <w:r>
        <w:rPr>
          <w:rFonts w:hint="eastAsia" w:ascii="宋体" w:hAnsi="宋体" w:cs="宋体"/>
          <w:spacing w:val="0"/>
          <w:sz w:val="24"/>
          <w:highlight w:val="none"/>
        </w:rPr>
        <w:t>10、</w:t>
      </w:r>
      <w:r>
        <w:rPr>
          <w:rFonts w:hint="eastAsia" w:ascii="宋体" w:hAnsi="宋体" w:cs="宋体"/>
          <w:spacing w:val="0"/>
          <w:sz w:val="24"/>
          <w:highlight w:val="none"/>
          <w:lang w:eastAsia="zh-CN"/>
        </w:rPr>
        <w:t>参选单位中选</w:t>
      </w:r>
      <w:r>
        <w:rPr>
          <w:rFonts w:hint="eastAsia" w:ascii="宋体" w:hAnsi="宋体" w:cs="宋体"/>
          <w:spacing w:val="0"/>
          <w:sz w:val="24"/>
          <w:highlight w:val="none"/>
        </w:rPr>
        <w:t>后，第一年合同期的采购价以</w:t>
      </w:r>
      <w:r>
        <w:rPr>
          <w:rFonts w:hint="eastAsia" w:ascii="宋体" w:hAnsi="宋体" w:cs="宋体"/>
          <w:spacing w:val="0"/>
          <w:sz w:val="24"/>
          <w:highlight w:val="none"/>
          <w:lang w:eastAsia="zh-CN"/>
        </w:rPr>
        <w:t>遴选</w:t>
      </w:r>
      <w:r>
        <w:rPr>
          <w:rFonts w:hint="eastAsia" w:ascii="宋体" w:hAnsi="宋体" w:cs="宋体"/>
          <w:spacing w:val="0"/>
          <w:sz w:val="24"/>
          <w:highlight w:val="none"/>
        </w:rPr>
        <w:t>时所提供的供货价进行采购。后期根据市场行情，每半年可提出一次调价申请，药械科结合医院在用散装饮片的价格，综合考虑，提交相关会议讨论后，决定是否调价。</w:t>
      </w:r>
    </w:p>
    <w:p>
      <w:pPr>
        <w:pageBreakBefore/>
        <w:spacing w:before="319" w:beforeLines="100" w:after="319" w:afterLines="100"/>
        <w:jc w:val="center"/>
        <w:outlineLvl w:val="2"/>
        <w:rPr>
          <w:rFonts w:hint="eastAsia" w:ascii="宋体" w:hAnsi="宋体" w:cs="宋体"/>
          <w:b/>
          <w:bCs/>
          <w:spacing w:val="0"/>
          <w:sz w:val="24"/>
        </w:rPr>
      </w:pPr>
      <w:r>
        <w:rPr>
          <w:rFonts w:hint="eastAsia" w:ascii="宋体" w:hAnsi="宋体" w:cs="宋体"/>
          <w:b/>
          <w:bCs/>
          <w:spacing w:val="0"/>
          <w:sz w:val="24"/>
        </w:rPr>
        <w:t>附件1 中药饮片样品目录表</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77"/>
        <w:gridCol w:w="3674"/>
        <w:gridCol w:w="2694"/>
        <w:gridCol w:w="18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tblHeader/>
          <w:jc w:val="center"/>
        </w:trPr>
        <w:tc>
          <w:tcPr>
            <w:tcW w:w="877" w:type="dxa"/>
            <w:noWrap/>
            <w:vAlign w:val="center"/>
          </w:tcPr>
          <w:p>
            <w:pPr>
              <w:widowControl/>
              <w:jc w:val="center"/>
              <w:rPr>
                <w:rFonts w:hint="eastAsia" w:ascii="宋体" w:hAnsi="宋体" w:cs="宋体"/>
                <w:b/>
                <w:spacing w:val="0"/>
                <w:kern w:val="0"/>
                <w:sz w:val="24"/>
              </w:rPr>
            </w:pPr>
            <w:r>
              <w:rPr>
                <w:rFonts w:hint="eastAsia" w:ascii="宋体" w:hAnsi="宋体" w:cs="宋体"/>
                <w:b/>
                <w:spacing w:val="0"/>
                <w:kern w:val="0"/>
                <w:sz w:val="24"/>
              </w:rPr>
              <w:t>序号</w:t>
            </w:r>
          </w:p>
        </w:tc>
        <w:tc>
          <w:tcPr>
            <w:tcW w:w="3674" w:type="dxa"/>
            <w:noWrap w:val="0"/>
            <w:vAlign w:val="center"/>
          </w:tcPr>
          <w:p>
            <w:pPr>
              <w:widowControl/>
              <w:jc w:val="center"/>
              <w:rPr>
                <w:rFonts w:hint="eastAsia" w:ascii="宋体" w:hAnsi="宋体" w:cs="宋体"/>
                <w:b/>
                <w:spacing w:val="0"/>
                <w:kern w:val="0"/>
                <w:sz w:val="24"/>
              </w:rPr>
            </w:pPr>
            <w:r>
              <w:rPr>
                <w:rFonts w:hint="eastAsia" w:ascii="宋体" w:hAnsi="宋体" w:cs="宋体"/>
                <w:b/>
                <w:spacing w:val="0"/>
                <w:kern w:val="0"/>
                <w:sz w:val="24"/>
              </w:rPr>
              <w:t>药品名称</w:t>
            </w:r>
          </w:p>
        </w:tc>
        <w:tc>
          <w:tcPr>
            <w:tcW w:w="2694" w:type="dxa"/>
            <w:noWrap w:val="0"/>
            <w:vAlign w:val="center"/>
          </w:tcPr>
          <w:p>
            <w:pPr>
              <w:widowControl/>
              <w:jc w:val="center"/>
              <w:rPr>
                <w:rFonts w:hint="eastAsia" w:ascii="宋体" w:hAnsi="宋体" w:cs="宋体"/>
                <w:spacing w:val="0"/>
                <w:sz w:val="24"/>
              </w:rPr>
            </w:pPr>
            <w:r>
              <w:rPr>
                <w:rFonts w:hint="eastAsia" w:ascii="宋体" w:hAnsi="宋体" w:cs="宋体"/>
                <w:b/>
                <w:spacing w:val="0"/>
                <w:kern w:val="0"/>
                <w:sz w:val="24"/>
              </w:rPr>
              <w:t>提交的样品规格</w:t>
            </w:r>
          </w:p>
        </w:tc>
        <w:tc>
          <w:tcPr>
            <w:tcW w:w="1842" w:type="dxa"/>
            <w:noWrap w:val="0"/>
            <w:vAlign w:val="center"/>
          </w:tcPr>
          <w:p>
            <w:pPr>
              <w:widowControl/>
              <w:jc w:val="center"/>
              <w:rPr>
                <w:rFonts w:hint="eastAsia" w:ascii="宋体" w:hAnsi="宋体" w:cs="宋体"/>
                <w:b/>
                <w:spacing w:val="0"/>
                <w:sz w:val="24"/>
              </w:rPr>
            </w:pPr>
            <w:r>
              <w:rPr>
                <w:rFonts w:hint="eastAsia" w:ascii="宋体" w:hAnsi="宋体" w:cs="宋体"/>
                <w:b/>
                <w:spacing w:val="0"/>
                <w:sz w:val="24"/>
              </w:rPr>
              <w:t>是否提供样品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kern w:val="0"/>
                <w:sz w:val="24"/>
                <w:szCs w:val="24"/>
              </w:rPr>
            </w:pPr>
            <w:r>
              <w:rPr>
                <w:rFonts w:hint="eastAsia" w:ascii="宋体" w:hAnsi="宋体" w:eastAsia="宋体" w:cs="宋体"/>
                <w:i w:val="0"/>
                <w:iCs w:val="0"/>
                <w:color w:val="000000"/>
                <w:spacing w:val="0"/>
                <w:kern w:val="0"/>
                <w:sz w:val="24"/>
                <w:szCs w:val="24"/>
                <w:u w:val="none"/>
                <w:lang w:val="en-US" w:eastAsia="zh-CN" w:bidi="ar"/>
              </w:rPr>
              <w:t>白及</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widowControl/>
              <w:jc w:val="center"/>
              <w:rPr>
                <w:rFonts w:hint="eastAsia" w:ascii="宋体" w:hAnsi="宋体" w:cs="宋体"/>
                <w:color w:val="000000"/>
                <w:spacing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2</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白芍</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3</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白术</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4</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白鲜皮</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5</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百合</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6</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柏子仁</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7</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北沙参</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8</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蝉蜕</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9</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燀苦杏仁</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10</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炒白芍</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11</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炒海螵蛸</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12</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炒鸡内金</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13</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炒僵蚕</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14</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炒芥子</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15</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炒莱菔子</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b/>
                <w:bCs/>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16</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炒酸枣仁</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17</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陈皮</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18</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赤芍</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19</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川芎</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20</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醋北柴胡</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21</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醋五味子</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22</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醋香附</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23</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醋延胡索</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24</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醋郁金</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25</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当归</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26</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党参片</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27</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地骨皮</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28</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地黄</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29</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煅龙骨</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30</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法半夏</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31</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防风</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32</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粉葛</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33</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麸炒白术</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34</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麸炒苍术</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35</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麸炒薏苡仁</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36</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麸炒枳壳</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37</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茯苓</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38</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茯神</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39</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甘草片</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40</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干石斛</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41</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钩藤</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42</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枸杞子</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43</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瓜蒌皮</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44</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桂枝</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45</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合欢花</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46</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红花</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47</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黄柏</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48</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黄连片</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49</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黄芪</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50</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鸡血藤</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51</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姜厚朴</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52</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金银花</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53</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酒川牛膝</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54</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酒丹参</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55</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酒地龙</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56</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酒黄芩</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57</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酒续断</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58</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桔梗</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59</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连翘</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60</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龙骨</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61</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麦冬</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62</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猫爪草</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63</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玫瑰花</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64</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蜜款冬花</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65</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蜜紫菀</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66</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牡丹皮</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67</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木香</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68</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牛膝</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69</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前胡</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70</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芡实</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71</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茜草</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72</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羌活</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73</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全蝎</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74</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肉苁蓉片</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75</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砂仁</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76</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山慈菇</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77</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山药</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78</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山萸肉</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79</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射干</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80</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升麻</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81</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石菖蒲</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82</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首乌藤</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83</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熟地黄</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84</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太子参</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85</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天花粉</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86</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天麻</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87</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威灵仙</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88</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西洋参</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89</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细辛</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90</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徐长卿</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91</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玄参</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92</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盐补骨脂</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93</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盐杜仲</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94</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盐菟丝子</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95</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盐泽泻</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96</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薏苡仁</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97</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淫羊藿</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98</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浙贝母</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99</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制吴茱萸</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eastAsia" w:ascii="宋体" w:hAnsi="宋体" w:cs="宋体"/>
                <w:spacing w:val="0"/>
                <w:kern w:val="0"/>
                <w:sz w:val="24"/>
              </w:rPr>
            </w:pPr>
            <w:r>
              <w:rPr>
                <w:rFonts w:hint="eastAsia" w:ascii="宋体" w:hAnsi="宋体" w:cs="宋体"/>
                <w:spacing w:val="0"/>
                <w:kern w:val="0"/>
                <w:sz w:val="24"/>
              </w:rPr>
              <w:t>100</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炙甘草</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default" w:ascii="宋体" w:hAnsi="宋体" w:eastAsia="宋体" w:cs="宋体"/>
                <w:spacing w:val="0"/>
                <w:kern w:val="0"/>
                <w:sz w:val="24"/>
                <w:lang w:val="en-US" w:eastAsia="zh-CN"/>
              </w:rPr>
            </w:pPr>
            <w:r>
              <w:rPr>
                <w:rFonts w:hint="eastAsia" w:ascii="宋体" w:hAnsi="宋体" w:cs="宋体"/>
                <w:spacing w:val="0"/>
                <w:kern w:val="0"/>
                <w:sz w:val="24"/>
                <w:lang w:val="en-US" w:eastAsia="zh-CN"/>
              </w:rPr>
              <w:t>101</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猪苓</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kern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default" w:ascii="宋体" w:hAnsi="宋体" w:eastAsia="宋体" w:cs="宋体"/>
                <w:spacing w:val="0"/>
                <w:kern w:val="0"/>
                <w:sz w:val="24"/>
                <w:lang w:val="en-US" w:eastAsia="zh-CN"/>
              </w:rPr>
            </w:pPr>
            <w:r>
              <w:rPr>
                <w:rFonts w:hint="eastAsia" w:ascii="宋体" w:hAnsi="宋体" w:cs="宋体"/>
                <w:spacing w:val="0"/>
                <w:kern w:val="0"/>
                <w:sz w:val="24"/>
                <w:lang w:val="en-US" w:eastAsia="zh-CN"/>
              </w:rPr>
              <w:t>102</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紫苏梗</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kern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7" w:type="dxa"/>
            <w:noWrap/>
            <w:vAlign w:val="center"/>
          </w:tcPr>
          <w:p>
            <w:pPr>
              <w:widowControl/>
              <w:jc w:val="center"/>
              <w:rPr>
                <w:rFonts w:hint="default" w:ascii="宋体" w:hAnsi="宋体" w:eastAsia="宋体" w:cs="宋体"/>
                <w:spacing w:val="0"/>
                <w:kern w:val="0"/>
                <w:sz w:val="24"/>
                <w:lang w:val="en-US" w:eastAsia="zh-CN"/>
              </w:rPr>
            </w:pPr>
            <w:r>
              <w:rPr>
                <w:rFonts w:hint="eastAsia" w:ascii="宋体" w:hAnsi="宋体" w:cs="宋体"/>
                <w:spacing w:val="0"/>
                <w:kern w:val="0"/>
                <w:sz w:val="24"/>
                <w:lang w:val="en-US" w:eastAsia="zh-CN"/>
              </w:rPr>
              <w:t>103</w:t>
            </w:r>
          </w:p>
        </w:tc>
        <w:tc>
          <w:tcPr>
            <w:tcW w:w="367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紫苏叶</w:t>
            </w:r>
          </w:p>
        </w:tc>
        <w:tc>
          <w:tcPr>
            <w:tcW w:w="269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spacing w:val="0"/>
                <w:kern w:val="0"/>
                <w:sz w:val="24"/>
                <w:szCs w:val="24"/>
              </w:rPr>
            </w:pPr>
            <w:r>
              <w:rPr>
                <w:rFonts w:hint="eastAsia" w:ascii="宋体" w:hAnsi="宋体" w:eastAsia="宋体" w:cs="宋体"/>
                <w:i w:val="0"/>
                <w:iCs w:val="0"/>
                <w:color w:val="000000"/>
                <w:spacing w:val="0"/>
                <w:kern w:val="0"/>
                <w:sz w:val="24"/>
                <w:szCs w:val="24"/>
                <w:u w:val="none"/>
                <w:lang w:val="en-US" w:eastAsia="zh-CN" w:bidi="ar"/>
              </w:rPr>
              <w:t>100g/包</w:t>
            </w:r>
          </w:p>
        </w:tc>
        <w:tc>
          <w:tcPr>
            <w:tcW w:w="1842" w:type="dxa"/>
            <w:noWrap w:val="0"/>
            <w:vAlign w:val="center"/>
          </w:tcPr>
          <w:p>
            <w:pPr>
              <w:jc w:val="center"/>
              <w:rPr>
                <w:rFonts w:hint="eastAsia" w:ascii="宋体" w:hAnsi="宋体" w:cs="宋体"/>
                <w:color w:val="000000"/>
                <w:spacing w:val="0"/>
                <w:sz w:val="24"/>
              </w:rPr>
            </w:pPr>
          </w:p>
        </w:tc>
      </w:tr>
    </w:tbl>
    <w:p>
      <w:pPr>
        <w:rPr>
          <w:rFonts w:hint="eastAsia" w:ascii="宋体" w:hAnsi="宋体" w:cs="宋体"/>
          <w:b/>
          <w:bCs/>
          <w:spacing w:val="0"/>
          <w:sz w:val="24"/>
        </w:rPr>
      </w:pPr>
    </w:p>
    <w:p>
      <w:pPr>
        <w:spacing w:before="319" w:beforeLines="100" w:after="319" w:afterLines="100"/>
        <w:jc w:val="center"/>
        <w:outlineLvl w:val="2"/>
        <w:rPr>
          <w:rFonts w:hint="eastAsia" w:ascii="宋体" w:hAnsi="宋体" w:cs="宋体"/>
          <w:b/>
          <w:bCs/>
          <w:spacing w:val="0"/>
          <w:sz w:val="24"/>
        </w:rPr>
      </w:pPr>
      <w:r>
        <w:rPr>
          <w:rFonts w:hint="eastAsia" w:ascii="宋体" w:hAnsi="宋体" w:cs="宋体"/>
          <w:b/>
          <w:bCs/>
          <w:spacing w:val="0"/>
          <w:sz w:val="24"/>
        </w:rPr>
        <w:t>附件2 中药饮片质量标准及需求</w:t>
      </w:r>
    </w:p>
    <w:tbl>
      <w:tblPr>
        <w:tblStyle w:val="4"/>
        <w:tblW w:w="916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76"/>
        <w:gridCol w:w="1126"/>
        <w:gridCol w:w="785"/>
        <w:gridCol w:w="3800"/>
        <w:gridCol w:w="1238"/>
        <w:gridCol w:w="164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tblHeader/>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bookmarkStart w:id="2" w:name="_Hlk69328542"/>
            <w:r>
              <w:rPr>
                <w:rFonts w:hint="eastAsia" w:ascii="宋体" w:hAnsi="宋体" w:cs="宋体"/>
                <w:b/>
                <w:bCs/>
                <w:spacing w:val="0"/>
                <w:kern w:val="0"/>
                <w:sz w:val="24"/>
              </w:rPr>
              <w:t>序号</w:t>
            </w:r>
          </w:p>
        </w:tc>
        <w:tc>
          <w:tcPr>
            <w:tcW w:w="1126" w:type="dxa"/>
            <w:noWrap w:val="0"/>
            <w:tcMar>
              <w:top w:w="15" w:type="dxa"/>
              <w:left w:w="15" w:type="dxa"/>
              <w:right w:w="15" w:type="dxa"/>
            </w:tcMar>
            <w:vAlign w:val="center"/>
          </w:tcPr>
          <w:p>
            <w:pPr>
              <w:widowControl/>
              <w:jc w:val="center"/>
              <w:textAlignment w:val="center"/>
              <w:rPr>
                <w:rFonts w:hint="eastAsia" w:ascii="宋体" w:hAnsi="宋体" w:cs="宋体"/>
                <w:b/>
                <w:bCs/>
                <w:spacing w:val="0"/>
                <w:sz w:val="24"/>
              </w:rPr>
            </w:pPr>
            <w:r>
              <w:rPr>
                <w:rFonts w:hint="eastAsia" w:ascii="宋体" w:hAnsi="宋体" w:cs="宋体"/>
                <w:b/>
                <w:bCs/>
                <w:spacing w:val="0"/>
                <w:kern w:val="0"/>
                <w:sz w:val="24"/>
                <w:lang w:eastAsia="zh-CN"/>
              </w:rPr>
              <w:t>药品</w:t>
            </w:r>
            <w:r>
              <w:rPr>
                <w:rFonts w:hint="eastAsia" w:ascii="宋体" w:hAnsi="宋体" w:cs="宋体"/>
                <w:b/>
                <w:bCs/>
                <w:spacing w:val="0"/>
                <w:kern w:val="0"/>
                <w:sz w:val="24"/>
              </w:rPr>
              <w:t>名称</w:t>
            </w:r>
          </w:p>
        </w:tc>
        <w:tc>
          <w:tcPr>
            <w:tcW w:w="785" w:type="dxa"/>
            <w:noWrap w:val="0"/>
            <w:tcMar>
              <w:top w:w="15" w:type="dxa"/>
              <w:left w:w="15" w:type="dxa"/>
              <w:right w:w="15" w:type="dxa"/>
            </w:tcMar>
            <w:vAlign w:val="center"/>
          </w:tcPr>
          <w:p>
            <w:pPr>
              <w:widowControl/>
              <w:jc w:val="center"/>
              <w:textAlignment w:val="center"/>
              <w:rPr>
                <w:rFonts w:hint="eastAsia" w:ascii="宋体" w:hAnsi="宋体" w:cs="宋体"/>
                <w:b/>
                <w:bCs/>
                <w:spacing w:val="0"/>
                <w:sz w:val="24"/>
              </w:rPr>
            </w:pPr>
            <w:r>
              <w:rPr>
                <w:rFonts w:hint="eastAsia" w:ascii="宋体" w:hAnsi="宋体" w:cs="宋体"/>
                <w:b/>
                <w:bCs/>
                <w:spacing w:val="0"/>
                <w:kern w:val="0"/>
                <w:sz w:val="24"/>
              </w:rPr>
              <w:t>包装规格</w:t>
            </w:r>
          </w:p>
        </w:tc>
        <w:tc>
          <w:tcPr>
            <w:tcW w:w="3800" w:type="dxa"/>
            <w:noWrap w:val="0"/>
            <w:tcMar>
              <w:top w:w="15" w:type="dxa"/>
              <w:left w:w="15" w:type="dxa"/>
              <w:right w:w="15" w:type="dxa"/>
            </w:tcMar>
            <w:vAlign w:val="center"/>
          </w:tcPr>
          <w:p>
            <w:pPr>
              <w:widowControl/>
              <w:jc w:val="center"/>
              <w:textAlignment w:val="center"/>
              <w:rPr>
                <w:rFonts w:hint="eastAsia" w:ascii="宋体" w:hAnsi="宋体" w:cs="宋体"/>
                <w:b/>
                <w:bCs/>
                <w:spacing w:val="0"/>
                <w:sz w:val="24"/>
              </w:rPr>
            </w:pPr>
            <w:r>
              <w:rPr>
                <w:rFonts w:hint="eastAsia" w:ascii="宋体" w:hAnsi="宋体" w:cs="宋体"/>
                <w:b/>
                <w:spacing w:val="0"/>
                <w:kern w:val="0"/>
                <w:sz w:val="24"/>
              </w:rPr>
              <w:t>等级规格、加工要求</w:t>
            </w:r>
          </w:p>
        </w:tc>
        <w:tc>
          <w:tcPr>
            <w:tcW w:w="1238" w:type="dxa"/>
            <w:noWrap w:val="0"/>
            <w:tcMar>
              <w:top w:w="15" w:type="dxa"/>
              <w:left w:w="15" w:type="dxa"/>
              <w:right w:w="15" w:type="dxa"/>
            </w:tcMar>
            <w:vAlign w:val="center"/>
          </w:tcPr>
          <w:p>
            <w:pPr>
              <w:widowControl/>
              <w:jc w:val="center"/>
              <w:textAlignment w:val="center"/>
              <w:rPr>
                <w:rFonts w:hint="eastAsia" w:ascii="宋体" w:hAnsi="宋体" w:eastAsia="宋体" w:cs="宋体"/>
                <w:b/>
                <w:spacing w:val="0"/>
                <w:kern w:val="0"/>
                <w:sz w:val="24"/>
                <w:lang w:eastAsia="zh-CN"/>
              </w:rPr>
            </w:pPr>
            <w:r>
              <w:rPr>
                <w:rFonts w:hint="eastAsia" w:ascii="宋体" w:hAnsi="宋体" w:cs="宋体"/>
                <w:b/>
                <w:spacing w:val="0"/>
                <w:kern w:val="0"/>
                <w:sz w:val="24"/>
                <w:lang w:eastAsia="zh-CN"/>
              </w:rPr>
              <w:t>产地要求</w:t>
            </w:r>
          </w:p>
        </w:tc>
        <w:tc>
          <w:tcPr>
            <w:tcW w:w="1644" w:type="dxa"/>
            <w:noWrap w:val="0"/>
            <w:tcMar>
              <w:top w:w="15" w:type="dxa"/>
              <w:left w:w="15" w:type="dxa"/>
              <w:right w:w="15" w:type="dxa"/>
            </w:tcMar>
            <w:vAlign w:val="center"/>
          </w:tcPr>
          <w:p>
            <w:pPr>
              <w:widowControl/>
              <w:spacing w:line="240" w:lineRule="auto"/>
              <w:jc w:val="center"/>
              <w:textAlignment w:val="center"/>
              <w:rPr>
                <w:rFonts w:hint="eastAsia" w:ascii="宋体" w:hAnsi="宋体" w:eastAsia="宋体" w:cs="宋体"/>
                <w:b/>
                <w:spacing w:val="0"/>
                <w:kern w:val="0"/>
                <w:sz w:val="24"/>
                <w:lang w:eastAsia="zh-CN"/>
              </w:rPr>
            </w:pPr>
            <w:r>
              <w:rPr>
                <w:rFonts w:hint="eastAsia" w:ascii="宋体" w:hAnsi="宋体" w:cs="宋体"/>
                <w:b/>
                <w:spacing w:val="0"/>
                <w:kern w:val="0"/>
                <w:sz w:val="24"/>
                <w:lang w:eastAsia="zh-CN"/>
              </w:rPr>
              <w:t>限价（元</w:t>
            </w:r>
            <w:r>
              <w:rPr>
                <w:rFonts w:hint="eastAsia" w:ascii="宋体" w:hAnsi="宋体" w:cs="宋体"/>
                <w:b/>
                <w:spacing w:val="0"/>
                <w:kern w:val="0"/>
                <w:sz w:val="24"/>
                <w:lang w:val="en-US" w:eastAsia="zh-CN"/>
              </w:rPr>
              <w:t>/kg</w:t>
            </w:r>
            <w:r>
              <w:rPr>
                <w:rFonts w:hint="eastAsia" w:ascii="宋体" w:hAnsi="宋体" w:cs="宋体"/>
                <w:b/>
                <w:spacing w:val="0"/>
                <w:kern w:val="0"/>
                <w:sz w:val="24"/>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kern w:val="0"/>
                <w:sz w:val="24"/>
                <w:szCs w:val="24"/>
              </w:rPr>
            </w:pPr>
            <w:r>
              <w:rPr>
                <w:rFonts w:hint="eastAsia" w:ascii="宋体" w:hAnsi="宋体" w:eastAsia="宋体" w:cs="宋体"/>
                <w:i w:val="0"/>
                <w:iCs w:val="0"/>
                <w:color w:val="000000"/>
                <w:spacing w:val="0"/>
                <w:kern w:val="0"/>
                <w:sz w:val="24"/>
                <w:szCs w:val="24"/>
                <w:u w:val="none"/>
                <w:lang w:val="en-US" w:eastAsia="zh-CN" w:bidi="ar"/>
              </w:rPr>
              <w:t>矮地茶</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47.31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艾叶</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44.10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菝葜</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32.58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白矾</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白附片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369.45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白果仁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40.92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白花蛇舌草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60.11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白及</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片型完整，过3mm孔眼的筛，味苦。</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贵州 湖南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525.65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白茅根</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63.70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白前</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185.72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白芍</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切薄片1-2mm，饮片直径平均1-2cm，不允许有2.5cm以上的片。变形、黑心片不得过3%。过2mm孔眼的筛。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浙江、亳州</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214.50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白术</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2年生，饮片中径2.5-4.0cm，无地上残茎，过6mm孔眼的筛。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浙江、安徽亳州</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389.70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白头翁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558.97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109.26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白鲜皮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段直径中径0.6-1cm，过2mm孔眼的筛，有羊膻气。去心率95%以上。</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辽宁、河北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611.98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43.15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白芷</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108.38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百部</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142.88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百合</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含有棕黄色片不得超过3%，宽1-2cm，长2.5-3cm，气微，味微苦，无变质。过4mm孔眼的筛。无发黑品，无硫。过4mm孔眼的筛。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湖南、湖北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200.57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20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柏子仁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粒饱满，杂质无，碎仁率不过5%。油性大，无走油变色，无发霉品，过2mm孔眼的筛。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山东、河北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367.32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21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败酱草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48.18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22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板蓝根</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112.83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23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半边莲</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108.13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24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半枝莲</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54.60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25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薄荷</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3g/6g/5g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42.19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26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北沙参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段的直径0.8-1.2cm，无走油变色，无硫，去净粗皮，过2mm孔眼的筛。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山东 内蒙</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210.44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27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荜茇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150.75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28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萹蓄</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36.29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29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槟榔</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78.54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30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蚕沙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35.25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31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草豆蔻</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148.31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32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草果仁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236.61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33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侧柏炭</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34.59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34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侧柏叶</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29.10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35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蝉蜕</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水洗货，无泥沙，无杂质，完整，过4mm孔眼的筛，无伪品掺入。</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2479.75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36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燀苦杏仁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扁心形，大小均匀，富油性，无油粒，无杂质，过2mm孔眼的筛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甘肃 内蒙</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115.30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37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燀山桃仁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174.81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38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炒白扁豆</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96.54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39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炒白芍</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表面微黄色或淡棕黄色气微香。直径1～2cm。切薄片1-2mm，不允许有2.5cm以上的片。变形、黑心片不得过3%。</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浙江、亳州</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255.07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40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炒苍耳子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51.63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41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炒川楝子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33.47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42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炒冬瓜子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109.84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43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炒谷芽</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33.49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44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炒瓜蒌子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103.16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45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炒海螵蛸</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色白，洁净，大小均匀，粉末少于3%，过4mm孔眼的筛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辽宁、山东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225.15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46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炒鸡内金</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表面暗黄褐色或焦黄色，过3mm孔眼的筛。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山东 安徽</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48.33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47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炒蒺藜</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107.87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48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炒僵蚕</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条粗完整，过2mm孔眼的筛。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四川 云南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594.30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49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炒芥子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10g/30g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黄芥子，过1mm孔眼的筛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四川</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62.87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50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炒莱菔子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10g/30g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瘪子率3%以下，过2mm孔眼的筛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山东 云南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56.98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51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炒路路通</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35.21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52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炒麦芽</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29.03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53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炒蔓荆子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393.08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54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炒牛蒡子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84.57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55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炒酸枣仁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饱满，紫红色，碎仁≤5%。无杂质，核壳率≤1%，无虫蛀,无发黑品。无滇枣仁等其它基原品种混入。过2mm孔眼的筛。瘪子率10%以下。</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山东、河北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1948.35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56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炒王不留行</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53.20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57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炒栀子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98.96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58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炒紫苏子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77.29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59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车前草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49.50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60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沉香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1600.30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61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陈皮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无杂质、虫蛀、霉变。过4mm孔眼的筛。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 xml:space="preserve">浙江、湖北 </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39.46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62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赤芍</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直径1.0-1.5cm，外表纵沟或皱缩，皮较粗糙，有的外皮易脱落，断面粉白或粉红色，中间有放射状纹理，有粉性。含中空和不规则片不得超过10%，过4mm孔眼的筛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内蒙、甘肃、四川</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171.35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63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赤石脂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18.00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64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赤小豆</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40.31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65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茺蔚子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133.88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66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褚实子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81.96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67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川木通</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69.26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68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川芎</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饮片最窄中径2.5cm以上，断面散有黄棕色的油室，气浓香，无杂质、虫蛀、霉变，过2mm孔眼的筛。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四川</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78.63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69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穿破石</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44.52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70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穿山龙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57.22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71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醋艾炭</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63.10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72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醋北柴胡</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直径大于0.3cm，无残茎，无黑心品，无地上茎及芦头，气微香，味微苦辛。具醋气。过2mm孔眼的筛。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甘肃、陕西、甘肃</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442.53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73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醋鳖甲</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362.55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74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醋莪术</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59.18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75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醋龟甲</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345.46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76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醋没药</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275.09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77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醋青皮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49.65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78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醋乳香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159.25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79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醋三棱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68.95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80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醋五灵脂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289.91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81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醋五味子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北五味子，过5毫筛以上。肉厚，粒大，无果梗，不结成团。</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辽宁 吉林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192.26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82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醋香附</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过6毫筛，大小均匀，无碎粒。微有醋香气。</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河南 广东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49.08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83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醋延胡索</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选片，直径大于0.8cm,质坚、饱满、皮细，断面蜡样光泽。过0.5cm筛。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浙江</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427.03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84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醋郁金</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桂郁金，片型均匀，饮片中部方向直径1.0cm以上。过4mm孔眼的筛。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广西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82.59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85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大腹皮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37.82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86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大黄</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96.30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87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大青叶</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47.33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88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大血藤</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39.84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89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大枣</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43.02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90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胆南星</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39.00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91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淡豆豉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68.51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92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淡竹叶</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60.23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93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当归</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全当归，归身中径≥2cm，归尾根梢≥0.3cm，跟头直径1.5-4cm，质柔韧，有浓郁的香气，味甘、辛、微苦。无硫。断面黄白或淡黄色，具油性，韧皮部有多数棕色点状分泌腔。过3mm孔眼的筛。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甘肃岷县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452.10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94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党参片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饮片直径0.6-1.0cm，大小均匀，有特殊香气，质稍柔软或稍硬而略带韧性，味微甜，无败油，无杂质。平均厚度2-4mm，过4mm孔眼的筛。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甘肃、山西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499.23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95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地肤子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54.95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96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地骨皮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饮片长度3cm以上，含木心不得超过2%，过4mm孔眼的筛。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甘肃 山西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366.62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97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地黄</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饮片最窄直径2.0cm以上，外表皮棕黑色或棕灰色，切面棕黑色或乌黑色，有光泽。过4mm孔眼的筛。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67.30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98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地榆</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72.72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99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地榆炭</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93.29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kern w:val="0"/>
                <w:sz w:val="24"/>
              </w:rPr>
            </w:pPr>
            <w:r>
              <w:rPr>
                <w:rFonts w:hint="eastAsia" w:ascii="宋体" w:hAnsi="宋体" w:cs="宋体"/>
                <w:b w:val="0"/>
                <w:bCs w:val="0"/>
                <w:spacing w:val="0"/>
                <w:kern w:val="0"/>
                <w:sz w:val="24"/>
              </w:rPr>
              <w:t>100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灯心草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461.01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101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kern w:val="0"/>
                <w:sz w:val="24"/>
                <w:szCs w:val="24"/>
              </w:rPr>
            </w:pPr>
            <w:r>
              <w:rPr>
                <w:rFonts w:hint="eastAsia" w:ascii="宋体" w:hAnsi="宋体" w:eastAsia="宋体" w:cs="宋体"/>
                <w:i w:val="0"/>
                <w:iCs w:val="0"/>
                <w:color w:val="000000"/>
                <w:spacing w:val="0"/>
                <w:kern w:val="0"/>
                <w:sz w:val="24"/>
                <w:szCs w:val="24"/>
                <w:u w:val="none"/>
                <w:lang w:val="en-US" w:eastAsia="zh-CN" w:bidi="ar"/>
              </w:rPr>
              <w:t>丁香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b/>
                <w:bCs/>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187.90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102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冬瓜皮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55.49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103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冬凌草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58.41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104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豆蔻</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174.36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105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独活</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88.32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106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煅磁石</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52.96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107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煅龙齿</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1747.06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108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煅龙骨</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 xml:space="preserve">煅透，无杂无泥沙。 </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甘肃、山西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837.11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109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煅牡蛎</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26.75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110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煅瓦楞子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20.66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111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煅赭石</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45.25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112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鹅不食草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113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法半夏</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直径1.0-1.5cm，质较松脆或硬脆，断面黄色或淡黄色。无其他基源品种混入，无断面角质样品，过4mm孔眼的筛。可依照临床需求打碎。</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332.75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114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翻白草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63.04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115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防风</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野生防风，直径0.5—0.8cm，气略香，体轻，松泡，无杂质，虫蛀，霉变。无残存地上茎，无完全木质化品。过2mm孔眼的筛</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892.78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116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防己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488.25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117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粉葛</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粉葛丁，具粉性，边长0.8-1cm。无葛藤， 无硫。过4mm的筛。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四川、湖北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44.56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118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凤凰衣</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119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麸炒白术</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饮片最窄中径2.5-4.0cm，过6mm孔眼的筛。2年生。</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浙江、亳州</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450.35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120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麸炒苍术</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优先茅苍术，无地上部分，撞净须根。饮片最窄直径1.3cm以上，无芽头，茎梗，碎屑，质坚实，有油性，断面朱砂点，过4mm孔眼的筛。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陕西、江苏</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265.69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121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麸炒薏苡仁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大小均匀，长4-8mm,宽3-6mm，破碎粒不超过8%，微鼓起，表面微黄色，无败油味，无油粒，无杂质，过3mm孔眼的筛。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贵州</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44.89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122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麸炒枳壳</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中果皮厚0.6-1.2cm，无边片，过4mm孔眼的筛,去净瓢囊。</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江西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71.90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123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麸炒枳实</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122.49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124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佛手</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146.40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125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茯苓</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茯苓丁，无硫，色白，质坚实，不规则碎块少于5%，无硫，无杂质，霉变，边长0.6-1.0cm，过2mm孔眼的筛。过3mm孔眼的筛。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云南、安徽</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86.63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126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茯苓皮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29.05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127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茯神</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每块含有松木心，松木心直径不得小于0.5cm。块直径不得大于8cm</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安徽、云南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156.23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128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浮萍</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59.90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129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浮小麦</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36.00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130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覆盆子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405.11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131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甘草片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直径0.6-1.0cm，均匀，皮细紧，皮色红，质坚实，味甜，无杂质。过3mm孔眼的筛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内蒙、甘肃</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124.21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132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甘松</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374.80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133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疳积草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49.43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134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干姜</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63.32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135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干石斛</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直径0.4cm以上，扁圆柱形或圆柱形的段，嚼之有黏性，渣少，无霉变。过2mm孔眼的筛。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云南 浙江</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347.50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136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干益母草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b/>
                <w:bCs/>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26.69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137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干鱼腥草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49.58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138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杠板归</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41.63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139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高良姜</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153.88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140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藁本片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316.88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141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葛根</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54.86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142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钩藤</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双钩，茎枝切段长短较均匀，无钩的光枝不超过10%</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贵州 湖南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214.07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143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枸杞子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每50g370粒以内，大小均匀，无油粒、破粒、杂质、霉变。</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宁夏</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116.51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144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谷精草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119.27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145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瓜蒌皮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切丝，过4mm孔眼的筛，具焦糖气，无虫蛀。</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146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广藿香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60.84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147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鬼箭羽</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376.61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148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桂枝</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饮片最窄方向直径0.2-0.6cm，过2mm孔眼的筛。有特异香气，皮部味较浓。</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广西、广东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33.63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149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海风藤</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128.35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150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海金沙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454.84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151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海桐皮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49.59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152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海藻</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84.94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153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诃子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42.60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154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合欢花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无花梗或几无花梗，含花梗率不超过5%。</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河北 山东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670.17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155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合欢皮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47.88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156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荷叶</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45.45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157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黑顺片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240.98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158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红参片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1012.25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159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红孩儿</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30.90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160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红花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颜色鲜艳，质柔软，过2mm孔眼的筛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新疆</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335.05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161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红景天</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405.34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162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槲寄生</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61.48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163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虎杖</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38.00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164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琥珀</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204.20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165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花椒</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5g/6g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180.14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166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滑石</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21.28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167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化橘红</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116.42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168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槐花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71.84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169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黄柏</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饮片皮平均厚度2.0-6.0mm，片型较均匀，无带粗皮黄柏，过3mm孔眼的筛。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四川、湖北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250.51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170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黄连片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饮片最窄方向直径0.3-0.5cm，片型较均匀，无碎屑，无碎片，无泥沙，过4mm孔眼的筛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重庆 四川</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944.70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171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黄芪</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15g/30g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直径0.8-1.2cm，色黄白，质柔韧坚实，味微甜，豆腥味浓。过2mm孔眼的筛。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内蒙、甘肃、山西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122.88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172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火麻仁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102.33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173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鸡冠花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79.62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174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鸡矢藤</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45.25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175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鸡血藤</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斜切片，色鲜红，无杂， 无树脂稀少品。</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广西、云南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36.87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176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积雪草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75.17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177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建曲</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178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姜半夏</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367.76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179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姜厚朴</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切丝、姜炙，皮厚度0.2cm以上，去净粗皮，过14mm孔眼的筛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湖北 四川</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65.82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180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姜黄</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59.93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181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姜皮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62.68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182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姜竹茹</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43.15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183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焦南山楂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76.15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184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绞股蓝</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87.33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185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接骨木</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31.38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186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金钱草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55.10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187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金荞麦</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63.03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188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金银花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表面绿白色，颜色一致，无黄白色，无叶，无开花品及无初开的花。花蕾饱满，匀整，无枝梗等杂质异物。</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河南、山东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387.33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189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金樱子肉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119.26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190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荆芥</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56.37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191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荆芥炭</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91.26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192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净山楂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54.08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193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酒川牛膝</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饮片最窄中径0.6-1.2mm，过2mm孔眼的筛。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四川</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115.60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194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酒大黄</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101.95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195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酒丹参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特选片，片型均匀，直径0.6-1.0cm，略具酒香气。过4mm孔眼的筛。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196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酒地龙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广地龙，选用全剖开品。段平均宽度1.5cm以上，无泥沙并除去内脏。</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广东、广西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772.11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197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酒黄精</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205.83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198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酒黄芩</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饮片最窄方向直径0.5-1cm，片型均匀，不规则片不超过5%，过4mm孔眼的筛，无变绿品。</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山西，山东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166.13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199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酒女贞子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26.64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200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酒乌梢蛇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1957.38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201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酒续断</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饮片最窄方向直径0.6-2.0cm，片型较均匀，异形片不超过5%，表面浅黑色至灰褐色，略有酒香气，过4mm孔眼的筛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四川</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96.83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202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桔梗</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10g/5g/12g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饮片最窄方向直径≥0.7cm，过2mm孔眼的筛。无熏硫，体实。无杂质、无霉变、无油片。皮部黄白色，木部淡黄色。过4mm孔眼的筛。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河南、山东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158.75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203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菊花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143.77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204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橘络</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1005.78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205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决明子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50.76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206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苦参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86.87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207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昆布</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95.36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208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连翘</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青翘，绿褐色，气芳香，无皱缩、枝叶及老翘，无杂质无霉变。果柄残留率小于2%。过2mm孔眼的筛。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478.81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209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莲须</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389.97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210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auto"/>
                <w:spacing w:val="0"/>
                <w:kern w:val="0"/>
                <w:sz w:val="24"/>
                <w:szCs w:val="24"/>
                <w:u w:val="none"/>
                <w:lang w:val="en-US" w:eastAsia="zh-CN" w:bidi="ar"/>
              </w:rPr>
              <w:t>莲子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103.84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211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莲子心</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335.33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212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灵芝</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98.80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213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六月雪</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b/>
                <w:bCs/>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31.54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214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龙齿</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1703.60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215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龙胆</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391.01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216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龙骨</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吸湿性强。碰碎成小块，布包，无杂无泥沙。</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 xml:space="preserve">甘肃、山西 </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774.67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217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龙葵</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35.52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218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龙眼肉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138.00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219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芦根</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82.46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220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鹿角霜</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287.66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221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鹿衔草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115.51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222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络石藤</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32.55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223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麻黄</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54.57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224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麻黄根</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112.29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225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马鞭草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72.58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226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马勃</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1667.95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227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马齿苋</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54.43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228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麦冬</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长1.5-3.0cm，每50g110只以内，大小均匀，无走油，无须根。过2mm孔眼的筛。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浙江</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345.00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229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芒硝</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32.18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230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猫爪草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杂质不超过2%，无碎爪，过2mm孔眼的筛。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1973.88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231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玫瑰花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花朵完整，颜色鲜艳，香气浓。过3mm孔眼的筛。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甘肃 山东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171.57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232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密蒙花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151.13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233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蜜款冬花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呈长圆棒状，长1～2.5cm，直径0.5～1cm。表面棕黄色或棕褐色，稍带黏性。具蜜香气，味微甜。过2mm孔眼的筛。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甘肃</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1327.02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234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蜜麻黄</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59.63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235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蜜炙远志</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734.57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236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蜜紫菀</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质较柔软，直径0.1-0.3cm，表面棕褐色或紫褐色，有蜜香气，味甜。去净母根，无地上部分。</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安徽</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347.30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237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绵萆薢</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64.34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238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绵马贯众</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79.02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239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绵马贯众炭</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95.80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240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墨旱莲</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57.48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241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牡丹皮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刮丹皮，饮片直径0.6cm以上，片型均匀，去芯率不低于95%，内表面可见发亮的结晶，无硫，无杂质，无虫蛀，无霉变，过4mm孔眼的筛。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安徽</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362.52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242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牡蛎</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20.65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243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木瓜</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60.26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244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木蝴蝶</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152.38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245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木香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饮片最窄中径1.5cm以上。过2mm孔眼的筛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云南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76.43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246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木贼</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42.32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247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南鹤虱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57.83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248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南沙参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430.45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249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鸟不宿</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26.55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250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牛尾菜</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166.00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251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牛膝</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饮片最窄中径8-10mm，过2mm孔眼的筛。切面平坦，淡棕色或棕色，略呈角质样而油润。无冻条、油条、杂质、虫蛀、霉变。</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89.04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252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藕节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53.97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253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胖大海</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730.15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254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炮姜</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85.51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255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佩兰</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53.39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256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枇杷叶</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37.20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257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蒲公英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60.83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258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蒲黄炭</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243.48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259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千斤拔</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169.91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260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千年健</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98.64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261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前胡</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饮片最窄方向直径0.6-2.0cm，不规则片不超过5%，过4mm孔眼的筛。无纤维状叶鞘残基，无抽苔品。</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 xml:space="preserve">浙江、湖北 </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451.09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262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芡实</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饮片直径0.6-0.8cm以上，过2mm孔眼的筛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江苏</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89.49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263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茜草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根的直径0.3-1.0cm。过2mm孔眼的筛。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山东、山西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705.49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264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茜草炭</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946.50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265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羌活</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根茎直径1.5-2.5cm，过4mm孔眼的筛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四川 青海</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748.63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266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秦艽</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224.23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267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秦皮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42.48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268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青黛</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141.00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269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青蒿</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32.64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270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青葙子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162.91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271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苘麻子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b/>
                <w:bCs/>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85.65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272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瞿麦</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42.42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273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全蜈蚣</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中条</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274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全蝎</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清水货，虫体完整。破碎虫体不超过30%，无盐霜，无泥沙等杂质。过3mm孔眼的筛。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河南、山东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5201.98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275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人参叶</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214.26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276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忍冬藤</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25.27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277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肉苁蓉片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饮片最窄中径2cm以上，平均厚度2-3mm，过6mm孔眼的筛，切面有排列成波状环纹，无茎尖部分</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新疆</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251.94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278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肉桂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75.87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279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桑白皮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116.63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280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桑螵蛸</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2245.65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281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桑椹</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52.62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282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桑叶</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44.76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283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桑枝</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23.13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284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沙苑子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236.32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285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砂仁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阳春砂，带壳砂仁，气芳香而浓烈，果实直径1.0-1.5cm，种子团饱满，无碎粒，无油籽，能根据临床需求打碎。</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广东阳春</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487.40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286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山慈菇</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毛慈菇，膨大部直径1.0cm以上，大小均匀，饱满，过2mm孔眼的筛。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贵州、云南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5977.58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287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山药</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山药片，直径≥2.0cm，皱缩不平，切面白色或黄白色，质坚脆，粉性足，气微，味淡。无硫，碎片小于5%，过4mm孔眼的筛。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146.66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288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山萸肉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除去果核，表面紫红至紫黑色，果皮完整，破碎率不超过10%。</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河南、浙江</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187.95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289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蛇床子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90.80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290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射干</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饮片最窄方向直径0.7-2.0cm，切面鲜黄色，颜色均匀，质结实，无碎片及须根，过3mm孔眼的筛。无川射干品。</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河北，河南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382.11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291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伸筋草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292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升麻</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饮片最窄中径2cm以上，过3mm孔眼的筛。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辽宁 吉林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284.91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293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生蒲黄</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192.08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294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生石膏</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21.98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295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石菖蒲</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饮片最窄中径0.5-0.8cm，过3mm孔眼的筛。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湖北 湖南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234.30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296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石见穿</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55.30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297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石决明</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32.63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298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石榴皮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41.03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299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石韦</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101.04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300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使君子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91.62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301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首乌藤</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切段，直径0.4-0.7cm，长短均匀，不规则段不超过3%，过2mm孔眼的筛。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四川、湖北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44.51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302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熟地黄</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饮片最窄中径2.0cm以上，表面断面均乌黑色，有光泽，黏性大,味甜。过4mm孔眼的筛。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68.45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303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丝瓜络</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168.74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304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苏木</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305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锁阳</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303.03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306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太子参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每50克块根数在180支以内，个头均匀，质硬，断面平坦，气微，味微苦，去净尾须。</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贵州、福建</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205.85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307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檀香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1127.22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308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烫狗脊</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154.25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309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烫骨碎补</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161.08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310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烫水蛭</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3737.40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311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天冬</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246.99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312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天花粉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片大小均匀，直径2-4cm，无硫，过2mm孔眼的筛。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河北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164.33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313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天葵子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232.54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314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天麻</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按药典加工。切薄片，饮片直径2.5cm以上，角质样，半透明，含棕色菌索较少，过2mm孔眼的筛。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贵州、云南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426.72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315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葶苈子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72.73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316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透骨草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84.30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317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土鳖虫</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224.10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318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土茯苓</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102.98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319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威灵仙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根粗细均匀，无碎屑，过2mm孔眼的筛。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辽宁 吉林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260.18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320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煨肉豆蔻</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219.04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321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乌梅</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57.75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322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乌药</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b/>
                <w:bCs/>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73.18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323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五倍子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159.97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324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西青果</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88.86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325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西洋参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10g/3g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直径1.2cm以上，平均厚度1.0-1.5mm，均匀，坚实，气味浓，过4mm孔眼的筛。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吉林、山东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1229.55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326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豨莶草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33.45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327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细辛</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 xml:space="preserve"> 切段1-1.5cm，挑净杂质无泥沙，无地上部分，过1mm孔眼的筛。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辽宁</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1266.11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328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夏枯草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329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仙鹤草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36.60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330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仙茅</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424.93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331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香加皮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80.22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332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香薷</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59.23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333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小蓟</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35.90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334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小通草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1106.03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335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薤白</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172.76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336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辛夷</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210.02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337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新疆紫草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1422.43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338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徐长卿</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切段较均匀，粗细均匀，含1mm以下细根不超过10%，气香，味微辛凉，无杂质，过2mm孔眼的筛。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山东</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176.10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339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玄参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饮片最窄中径1.5-3.0cm，过2mm孔眼的筛。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 xml:space="preserve">湖南 </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67.42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340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旋覆花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167.44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341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亚麻子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30.25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342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盐巴戟天</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359.54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343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盐补骨脂</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10g/30g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瘪子率2%以下，无杂质，过2mm孔眼的筛。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四川、安徽</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58.70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344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盐车前子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81.55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345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盐杜仲</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为小方块状或丝状，无卷形，片形均匀，厚约0.4-0.7cm，无连刀，粗皮去净，断面丝多，内表面紫褐色，过4mm孔眼的筛。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贵州、四川</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71.56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346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盐关黄柏</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214.29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347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盐韭菜子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132.08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348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盐橘核</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48.54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349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盐荔枝核</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39.00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350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盐菟丝子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15g/30g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盐炒，直径1-2mm。无泥沙等其他杂质。</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内蒙、宁夏</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91.64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351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盐小茴香</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75.95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352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盐益智仁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152.58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353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盐泽泻</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饮片中部直径3.0-5.0cm，片型完整，过6mm孔眼的筛。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四川、福建</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67.01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354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盐知母</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122.92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355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野菊花</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149.78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356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叶下珠</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64.97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357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薏苡仁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大小均匀，长4-8mm,宽3-6mm， 无油粒，破碎粒不超过8%，无杂质，过3mm孔眼的筛。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贵州、广西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42.25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358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茵陈</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76.97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359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银柴胡</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489.87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360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淫羊藿</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叶大多绿色，革质。梗不超过3%，过4mm筛。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甘肃、陕西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565.57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361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玉米须</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66.17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362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玉竹</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169.80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363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郁李仁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330.97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364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皂角刺</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150.17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365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泽兰</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35.02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366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浙贝母</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直径1.6cm以上，颜色较均匀，断面粉白至类白色，无霉变，无黑片，无硫，无碎片，过4mm孔眼的筛。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浙江</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320.50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367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珍珠粉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368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珍珠母</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17.79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369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栀子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91.27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370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枳椇子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85.18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371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制白附子</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380.67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372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制草乌</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425.32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373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制川乌</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434.68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374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制何首乌</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15g/5g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89.48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375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制天南星</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195.29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376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制吴茱萸</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3g/30g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饮片直径0.3-0.4cm，中花吴茱萸，表面棕褐色至暗褐色。不含梗等杂质</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江西 湖南</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147.57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377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炙甘草</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直径0.6-1.0cm，均匀，皮细紧，皮色红，质坚实，味甜，无杂质。</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121.11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eastAsia" w:ascii="宋体" w:hAnsi="宋体" w:cs="宋体"/>
                <w:b w:val="0"/>
                <w:bCs w:val="0"/>
                <w:spacing w:val="0"/>
                <w:sz w:val="24"/>
              </w:rPr>
            </w:pPr>
            <w:r>
              <w:rPr>
                <w:rFonts w:hint="eastAsia" w:ascii="宋体" w:hAnsi="宋体" w:cs="宋体"/>
                <w:b w:val="0"/>
                <w:bCs w:val="0"/>
                <w:spacing w:val="0"/>
                <w:sz w:val="24"/>
              </w:rPr>
              <w:t>378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炙黄芪</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118.99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default" w:ascii="宋体" w:hAnsi="宋体" w:eastAsia="宋体" w:cs="宋体"/>
                <w:b w:val="0"/>
                <w:bCs w:val="0"/>
                <w:spacing w:val="0"/>
                <w:sz w:val="24"/>
                <w:lang w:val="en-US" w:eastAsia="zh-CN"/>
              </w:rPr>
            </w:pPr>
            <w:r>
              <w:rPr>
                <w:rFonts w:hint="eastAsia" w:ascii="宋体" w:hAnsi="宋体" w:cs="宋体"/>
                <w:b w:val="0"/>
                <w:bCs w:val="0"/>
                <w:spacing w:val="0"/>
                <w:sz w:val="24"/>
                <w:lang w:val="en-US" w:eastAsia="zh-CN"/>
              </w:rPr>
              <w:t>379</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pacing w:val="0"/>
                <w:kern w:val="0"/>
                <w:sz w:val="24"/>
                <w:szCs w:val="24"/>
                <w:u w:val="none"/>
                <w:lang w:val="en-US" w:eastAsia="zh-CN" w:bidi="ar"/>
              </w:rPr>
            </w:pPr>
            <w:r>
              <w:rPr>
                <w:rFonts w:hint="eastAsia" w:ascii="宋体" w:hAnsi="宋体" w:eastAsia="宋体" w:cs="宋体"/>
                <w:i w:val="0"/>
                <w:iCs w:val="0"/>
                <w:color w:val="000000"/>
                <w:spacing w:val="0"/>
                <w:kern w:val="0"/>
                <w:sz w:val="24"/>
                <w:szCs w:val="24"/>
                <w:u w:val="none"/>
                <w:lang w:val="en-US" w:eastAsia="zh-CN" w:bidi="ar"/>
              </w:rPr>
              <w:t>重楼</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600.81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default" w:ascii="宋体" w:hAnsi="宋体" w:eastAsia="宋体" w:cs="宋体"/>
                <w:b w:val="0"/>
                <w:bCs w:val="0"/>
                <w:spacing w:val="0"/>
                <w:sz w:val="24"/>
                <w:lang w:val="en-US" w:eastAsia="zh-CN"/>
              </w:rPr>
            </w:pPr>
            <w:r>
              <w:rPr>
                <w:rFonts w:hint="eastAsia" w:ascii="宋体" w:hAnsi="宋体" w:cs="宋体"/>
                <w:b w:val="0"/>
                <w:bCs w:val="0"/>
                <w:spacing w:val="0"/>
                <w:sz w:val="24"/>
                <w:lang w:val="en-US" w:eastAsia="zh-CN"/>
              </w:rPr>
              <w:t>380</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pacing w:val="0"/>
                <w:kern w:val="0"/>
                <w:sz w:val="24"/>
                <w:szCs w:val="24"/>
                <w:u w:val="none"/>
                <w:lang w:val="en-US" w:eastAsia="zh-CN" w:bidi="ar"/>
              </w:rPr>
            </w:pPr>
            <w:r>
              <w:rPr>
                <w:rFonts w:hint="eastAsia" w:ascii="宋体" w:hAnsi="宋体" w:eastAsia="宋体" w:cs="宋体"/>
                <w:i w:val="0"/>
                <w:iCs w:val="0"/>
                <w:color w:val="000000"/>
                <w:spacing w:val="0"/>
                <w:kern w:val="0"/>
                <w:sz w:val="24"/>
                <w:szCs w:val="24"/>
                <w:u w:val="none"/>
                <w:lang w:val="en-US" w:eastAsia="zh-CN" w:bidi="ar"/>
              </w:rPr>
              <w:t>猪苓</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饮片最窄方向直径2.0-5.0cm，大小均匀，切面呈类白色，颜色较均匀，无边片，无碎片。</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陕西</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422.10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default" w:ascii="宋体" w:hAnsi="宋体" w:eastAsia="宋体" w:cs="宋体"/>
                <w:b w:val="0"/>
                <w:bCs w:val="0"/>
                <w:spacing w:val="0"/>
                <w:sz w:val="24"/>
                <w:lang w:val="en-US" w:eastAsia="zh-CN"/>
              </w:rPr>
            </w:pPr>
            <w:r>
              <w:rPr>
                <w:rFonts w:hint="eastAsia" w:ascii="宋体" w:hAnsi="宋体" w:cs="宋体"/>
                <w:b w:val="0"/>
                <w:bCs w:val="0"/>
                <w:spacing w:val="0"/>
                <w:sz w:val="24"/>
                <w:lang w:val="en-US" w:eastAsia="zh-CN"/>
              </w:rPr>
              <w:t>381</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pacing w:val="0"/>
                <w:kern w:val="0"/>
                <w:sz w:val="24"/>
                <w:szCs w:val="24"/>
                <w:u w:val="none"/>
                <w:lang w:val="en-US" w:eastAsia="zh-CN" w:bidi="ar"/>
              </w:rPr>
            </w:pPr>
            <w:r>
              <w:rPr>
                <w:rFonts w:hint="eastAsia" w:ascii="宋体" w:hAnsi="宋体" w:eastAsia="宋体" w:cs="宋体"/>
                <w:i w:val="0"/>
                <w:iCs w:val="0"/>
                <w:color w:val="auto"/>
                <w:spacing w:val="0"/>
                <w:kern w:val="0"/>
                <w:sz w:val="24"/>
                <w:szCs w:val="24"/>
                <w:u w:val="none"/>
                <w:lang w:val="en-US" w:eastAsia="zh-CN" w:bidi="ar"/>
              </w:rPr>
              <w:t>竹茹</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auto"/>
                <w:spacing w:val="0"/>
                <w:sz w:val="24"/>
                <w:szCs w:val="24"/>
              </w:rPr>
            </w:pPr>
            <w:r>
              <w:rPr>
                <w:rFonts w:hint="eastAsia" w:ascii="宋体" w:hAnsi="宋体" w:eastAsia="宋体" w:cs="宋体"/>
                <w:i w:val="0"/>
                <w:iCs w:val="0"/>
                <w:color w:val="auto"/>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32.74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default" w:ascii="宋体" w:hAnsi="宋体" w:eastAsia="宋体" w:cs="宋体"/>
                <w:b w:val="0"/>
                <w:bCs w:val="0"/>
                <w:spacing w:val="0"/>
                <w:sz w:val="24"/>
                <w:lang w:val="en-US" w:eastAsia="zh-CN"/>
              </w:rPr>
            </w:pPr>
            <w:r>
              <w:rPr>
                <w:rFonts w:hint="eastAsia" w:ascii="宋体" w:hAnsi="宋体" w:cs="宋体"/>
                <w:b w:val="0"/>
                <w:bCs w:val="0"/>
                <w:spacing w:val="0"/>
                <w:sz w:val="24"/>
                <w:lang w:val="en-US" w:eastAsia="zh-CN"/>
              </w:rPr>
              <w:t>382</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pacing w:val="0"/>
                <w:kern w:val="0"/>
                <w:sz w:val="24"/>
                <w:szCs w:val="24"/>
                <w:u w:val="none"/>
                <w:lang w:val="en-US" w:eastAsia="zh-CN" w:bidi="ar"/>
              </w:rPr>
            </w:pPr>
            <w:r>
              <w:rPr>
                <w:rFonts w:hint="eastAsia" w:ascii="宋体" w:hAnsi="宋体" w:eastAsia="宋体" w:cs="宋体"/>
                <w:i w:val="0"/>
                <w:iCs w:val="0"/>
                <w:color w:val="000000"/>
                <w:spacing w:val="0"/>
                <w:kern w:val="0"/>
                <w:sz w:val="24"/>
                <w:szCs w:val="24"/>
                <w:u w:val="none"/>
                <w:lang w:val="en-US" w:eastAsia="zh-CN" w:bidi="ar"/>
              </w:rPr>
              <w:t>紫花地丁</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56.94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default" w:ascii="宋体" w:hAnsi="宋体" w:eastAsia="宋体" w:cs="宋体"/>
                <w:b w:val="0"/>
                <w:bCs w:val="0"/>
                <w:spacing w:val="0"/>
                <w:sz w:val="24"/>
                <w:lang w:val="en-US" w:eastAsia="zh-CN"/>
              </w:rPr>
            </w:pPr>
            <w:r>
              <w:rPr>
                <w:rFonts w:hint="eastAsia" w:ascii="宋体" w:hAnsi="宋体" w:cs="宋体"/>
                <w:b w:val="0"/>
                <w:bCs w:val="0"/>
                <w:spacing w:val="0"/>
                <w:sz w:val="24"/>
                <w:lang w:val="en-US" w:eastAsia="zh-CN"/>
              </w:rPr>
              <w:t>383</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pacing w:val="0"/>
                <w:kern w:val="0"/>
                <w:sz w:val="24"/>
                <w:szCs w:val="24"/>
                <w:u w:val="none"/>
                <w:lang w:val="en-US" w:eastAsia="zh-CN" w:bidi="ar"/>
              </w:rPr>
            </w:pPr>
            <w:r>
              <w:rPr>
                <w:rFonts w:hint="eastAsia" w:ascii="宋体" w:hAnsi="宋体" w:eastAsia="宋体" w:cs="宋体"/>
                <w:i w:val="0"/>
                <w:iCs w:val="0"/>
                <w:color w:val="000000"/>
                <w:spacing w:val="0"/>
                <w:kern w:val="0"/>
                <w:sz w:val="24"/>
                <w:szCs w:val="24"/>
                <w:u w:val="none"/>
                <w:lang w:val="en-US" w:eastAsia="zh-CN" w:bidi="ar"/>
              </w:rPr>
              <w:t>紫荆皮</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79.13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default" w:ascii="宋体" w:hAnsi="宋体" w:eastAsia="宋体" w:cs="宋体"/>
                <w:b w:val="0"/>
                <w:bCs w:val="0"/>
                <w:spacing w:val="0"/>
                <w:sz w:val="24"/>
                <w:lang w:val="en-US" w:eastAsia="zh-CN"/>
              </w:rPr>
            </w:pPr>
            <w:r>
              <w:rPr>
                <w:rFonts w:hint="eastAsia" w:ascii="宋体" w:hAnsi="宋体" w:cs="宋体"/>
                <w:b w:val="0"/>
                <w:bCs w:val="0"/>
                <w:spacing w:val="0"/>
                <w:sz w:val="24"/>
                <w:lang w:val="en-US" w:eastAsia="zh-CN"/>
              </w:rPr>
              <w:t>384</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pacing w:val="0"/>
                <w:kern w:val="0"/>
                <w:sz w:val="24"/>
                <w:szCs w:val="24"/>
                <w:u w:val="none"/>
                <w:lang w:val="en-US" w:eastAsia="zh-CN" w:bidi="ar"/>
              </w:rPr>
            </w:pPr>
            <w:r>
              <w:rPr>
                <w:rFonts w:hint="eastAsia" w:ascii="宋体" w:hAnsi="宋体" w:eastAsia="宋体" w:cs="宋体"/>
                <w:i w:val="0"/>
                <w:iCs w:val="0"/>
                <w:color w:val="000000"/>
                <w:spacing w:val="0"/>
                <w:kern w:val="0"/>
                <w:sz w:val="24"/>
                <w:szCs w:val="24"/>
                <w:u w:val="none"/>
                <w:lang w:val="en-US" w:eastAsia="zh-CN" w:bidi="ar"/>
              </w:rPr>
              <w:t>紫苏梗</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10g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方梗切厚片，无叶，过4mm孔眼的筛。</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广西 四川</w:t>
            </w: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77.37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default" w:ascii="宋体" w:hAnsi="宋体" w:eastAsia="宋体" w:cs="宋体"/>
                <w:b w:val="0"/>
                <w:bCs w:val="0"/>
                <w:spacing w:val="0"/>
                <w:sz w:val="24"/>
                <w:lang w:val="en-US" w:eastAsia="zh-CN"/>
              </w:rPr>
            </w:pPr>
            <w:r>
              <w:rPr>
                <w:rFonts w:hint="eastAsia" w:ascii="宋体" w:hAnsi="宋体" w:cs="宋体"/>
                <w:b w:val="0"/>
                <w:bCs w:val="0"/>
                <w:spacing w:val="0"/>
                <w:sz w:val="24"/>
                <w:lang w:val="en-US" w:eastAsia="zh-CN"/>
              </w:rPr>
              <w:t>385</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pacing w:val="0"/>
                <w:kern w:val="0"/>
                <w:sz w:val="24"/>
                <w:szCs w:val="24"/>
                <w:u w:val="none"/>
                <w:lang w:val="en-US" w:eastAsia="zh-CN" w:bidi="ar"/>
              </w:rPr>
            </w:pPr>
            <w:r>
              <w:rPr>
                <w:rFonts w:hint="eastAsia" w:ascii="宋体" w:hAnsi="宋体" w:eastAsia="宋体" w:cs="宋体"/>
                <w:i w:val="0"/>
                <w:iCs w:val="0"/>
                <w:color w:val="000000"/>
                <w:spacing w:val="0"/>
                <w:kern w:val="0"/>
                <w:sz w:val="24"/>
                <w:szCs w:val="24"/>
                <w:u w:val="none"/>
                <w:lang w:val="en-US" w:eastAsia="zh-CN" w:bidi="ar"/>
              </w:rPr>
              <w:t>紫苏叶</w:t>
            </w:r>
          </w:p>
        </w:tc>
        <w:tc>
          <w:tcPr>
            <w:tcW w:w="785"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5g</w:t>
            </w: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符合《中华人民共和国药典》现行版标准，并满足下列要求：</w:t>
            </w:r>
            <w:r>
              <w:rPr>
                <w:rFonts w:hint="eastAsia" w:ascii="宋体" w:hAnsi="宋体" w:eastAsia="宋体" w:cs="宋体"/>
                <w:i w:val="0"/>
                <w:iCs w:val="0"/>
                <w:color w:val="000000"/>
                <w:spacing w:val="0"/>
                <w:kern w:val="0"/>
                <w:sz w:val="24"/>
                <w:szCs w:val="24"/>
                <w:u w:val="none"/>
                <w:lang w:val="en-US" w:eastAsia="zh-CN" w:bidi="ar"/>
              </w:rPr>
              <w:br w:type="textWrapping"/>
            </w:r>
            <w:r>
              <w:rPr>
                <w:rFonts w:hint="eastAsia" w:ascii="宋体" w:hAnsi="宋体" w:eastAsia="宋体" w:cs="宋体"/>
                <w:i w:val="0"/>
                <w:iCs w:val="0"/>
                <w:color w:val="000000"/>
                <w:spacing w:val="0"/>
                <w:kern w:val="0"/>
                <w:sz w:val="24"/>
                <w:szCs w:val="24"/>
                <w:u w:val="none"/>
                <w:lang w:val="en-US" w:eastAsia="zh-CN" w:bidi="ar"/>
              </w:rPr>
              <w:t>货新，气香，无杂质，无老梗，无泥沙。梗率小于1%。过2mm孔眼的筛</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91.50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default" w:ascii="宋体" w:hAnsi="宋体" w:eastAsia="宋体" w:cs="宋体"/>
                <w:b w:val="0"/>
                <w:bCs w:val="0"/>
                <w:spacing w:val="0"/>
                <w:sz w:val="24"/>
                <w:lang w:val="en-US" w:eastAsia="zh-CN"/>
              </w:rPr>
            </w:pPr>
            <w:r>
              <w:rPr>
                <w:rFonts w:hint="eastAsia" w:ascii="宋体" w:hAnsi="宋体" w:cs="宋体"/>
                <w:b w:val="0"/>
                <w:bCs w:val="0"/>
                <w:spacing w:val="0"/>
                <w:sz w:val="24"/>
                <w:lang w:val="en-US" w:eastAsia="zh-CN"/>
              </w:rPr>
              <w:t>386</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pacing w:val="0"/>
                <w:kern w:val="0"/>
                <w:sz w:val="24"/>
                <w:szCs w:val="24"/>
                <w:u w:val="none"/>
                <w:lang w:val="en-US" w:eastAsia="zh-CN" w:bidi="ar"/>
              </w:rPr>
            </w:pPr>
            <w:r>
              <w:rPr>
                <w:rFonts w:hint="eastAsia" w:ascii="宋体" w:hAnsi="宋体" w:eastAsia="宋体" w:cs="宋体"/>
                <w:i w:val="0"/>
                <w:iCs w:val="0"/>
                <w:color w:val="000000"/>
                <w:spacing w:val="0"/>
                <w:kern w:val="0"/>
                <w:sz w:val="24"/>
                <w:szCs w:val="24"/>
                <w:u w:val="none"/>
                <w:lang w:val="en-US" w:eastAsia="zh-CN" w:bidi="ar"/>
              </w:rPr>
              <w:t>阿胶</w:t>
            </w:r>
          </w:p>
        </w:tc>
        <w:tc>
          <w:tcPr>
            <w:tcW w:w="785" w:type="dxa"/>
            <w:noWrap w:val="0"/>
            <w:tcMar>
              <w:top w:w="15" w:type="dxa"/>
              <w:left w:w="15" w:type="dxa"/>
              <w:right w:w="15" w:type="dxa"/>
            </w:tcMar>
            <w:vAlign w:val="center"/>
          </w:tcPr>
          <w:p>
            <w:pPr>
              <w:spacing w:line="240" w:lineRule="auto"/>
              <w:jc w:val="center"/>
              <w:rPr>
                <w:rFonts w:hint="eastAsia" w:ascii="宋体" w:hAnsi="宋体" w:eastAsia="宋体" w:cs="宋体"/>
                <w:color w:val="000000"/>
                <w:spacing w:val="0"/>
                <w:sz w:val="24"/>
                <w:szCs w:val="24"/>
              </w:rPr>
            </w:pP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山东东阿阿胶</w:t>
            </w:r>
          </w:p>
        </w:tc>
        <w:tc>
          <w:tcPr>
            <w:tcW w:w="1644" w:type="dxa"/>
            <w:noWrap w:val="0"/>
            <w:tcMar>
              <w:top w:w="15" w:type="dxa"/>
              <w:left w:w="15" w:type="dxa"/>
              <w:right w:w="15" w:type="dxa"/>
            </w:tcMar>
            <w:vAlign w:val="center"/>
          </w:tcPr>
          <w:p>
            <w:pPr>
              <w:spacing w:line="240" w:lineRule="auto"/>
              <w:jc w:val="center"/>
              <w:rPr>
                <w:rFonts w:hint="eastAsia" w:ascii="宋体" w:hAnsi="宋体" w:eastAsia="宋体" w:cs="宋体"/>
                <w:color w:val="000000"/>
                <w:spacing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default" w:ascii="宋体" w:hAnsi="宋体" w:eastAsia="宋体" w:cs="宋体"/>
                <w:b w:val="0"/>
                <w:bCs w:val="0"/>
                <w:spacing w:val="0"/>
                <w:sz w:val="24"/>
                <w:lang w:val="en-US" w:eastAsia="zh-CN"/>
              </w:rPr>
            </w:pPr>
            <w:r>
              <w:rPr>
                <w:rFonts w:hint="eastAsia" w:ascii="宋体" w:hAnsi="宋体" w:cs="宋体"/>
                <w:b w:val="0"/>
                <w:bCs w:val="0"/>
                <w:spacing w:val="0"/>
                <w:sz w:val="24"/>
                <w:lang w:val="en-US" w:eastAsia="zh-CN"/>
              </w:rPr>
              <w:t>387</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pacing w:val="0"/>
                <w:kern w:val="0"/>
                <w:sz w:val="24"/>
                <w:szCs w:val="24"/>
                <w:u w:val="none"/>
                <w:lang w:val="en-US" w:eastAsia="zh-CN" w:bidi="ar"/>
              </w:rPr>
            </w:pPr>
            <w:r>
              <w:rPr>
                <w:rFonts w:hint="eastAsia" w:ascii="宋体" w:hAnsi="宋体" w:eastAsia="宋体" w:cs="宋体"/>
                <w:i w:val="0"/>
                <w:iCs w:val="0"/>
                <w:color w:val="000000"/>
                <w:spacing w:val="0"/>
                <w:kern w:val="0"/>
                <w:sz w:val="24"/>
                <w:szCs w:val="24"/>
                <w:u w:val="none"/>
                <w:lang w:val="en-US" w:eastAsia="zh-CN" w:bidi="ar"/>
              </w:rPr>
              <w:t>龟甲胶</w:t>
            </w:r>
          </w:p>
        </w:tc>
        <w:tc>
          <w:tcPr>
            <w:tcW w:w="785" w:type="dxa"/>
            <w:noWrap w:val="0"/>
            <w:tcMar>
              <w:top w:w="15" w:type="dxa"/>
              <w:left w:w="15" w:type="dxa"/>
              <w:right w:w="15" w:type="dxa"/>
            </w:tcMar>
            <w:vAlign w:val="center"/>
          </w:tcPr>
          <w:p>
            <w:pPr>
              <w:spacing w:line="240" w:lineRule="auto"/>
              <w:jc w:val="center"/>
              <w:rPr>
                <w:rFonts w:hint="eastAsia" w:ascii="宋体" w:hAnsi="宋体" w:eastAsia="宋体" w:cs="宋体"/>
                <w:color w:val="000000"/>
                <w:spacing w:val="0"/>
                <w:sz w:val="24"/>
                <w:szCs w:val="24"/>
              </w:rPr>
            </w:pP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spacing w:line="240" w:lineRule="auto"/>
              <w:jc w:val="center"/>
              <w:rPr>
                <w:rFonts w:hint="eastAsia" w:ascii="宋体" w:hAnsi="宋体" w:eastAsia="宋体" w:cs="宋体"/>
                <w:color w:val="000000"/>
                <w:spacing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76" w:type="dxa"/>
            <w:noWrap w:val="0"/>
            <w:tcMar>
              <w:top w:w="15" w:type="dxa"/>
              <w:left w:w="15" w:type="dxa"/>
              <w:right w:w="15" w:type="dxa"/>
            </w:tcMar>
            <w:vAlign w:val="center"/>
          </w:tcPr>
          <w:p>
            <w:pPr>
              <w:widowControl/>
              <w:spacing w:line="240" w:lineRule="auto"/>
              <w:jc w:val="center"/>
              <w:textAlignment w:val="center"/>
              <w:rPr>
                <w:rFonts w:hint="default" w:ascii="宋体" w:hAnsi="宋体" w:eastAsia="宋体" w:cs="宋体"/>
                <w:b w:val="0"/>
                <w:bCs w:val="0"/>
                <w:spacing w:val="0"/>
                <w:sz w:val="24"/>
                <w:lang w:val="en-US" w:eastAsia="zh-CN"/>
              </w:rPr>
            </w:pPr>
            <w:r>
              <w:rPr>
                <w:rFonts w:hint="eastAsia" w:ascii="宋体" w:hAnsi="宋体" w:cs="宋体"/>
                <w:b w:val="0"/>
                <w:bCs w:val="0"/>
                <w:spacing w:val="0"/>
                <w:sz w:val="24"/>
                <w:lang w:val="en-US" w:eastAsia="zh-CN"/>
              </w:rPr>
              <w:t>388</w:t>
            </w:r>
          </w:p>
        </w:tc>
        <w:tc>
          <w:tcPr>
            <w:tcW w:w="1126" w:type="dxa"/>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pacing w:val="0"/>
                <w:kern w:val="0"/>
                <w:sz w:val="24"/>
                <w:szCs w:val="24"/>
                <w:u w:val="none"/>
                <w:lang w:val="en-US" w:eastAsia="zh-CN" w:bidi="ar"/>
              </w:rPr>
            </w:pPr>
            <w:r>
              <w:rPr>
                <w:rFonts w:hint="eastAsia" w:ascii="宋体" w:hAnsi="宋体" w:eastAsia="宋体" w:cs="宋体"/>
                <w:i w:val="0"/>
                <w:iCs w:val="0"/>
                <w:color w:val="000000"/>
                <w:spacing w:val="0"/>
                <w:kern w:val="0"/>
                <w:sz w:val="24"/>
                <w:szCs w:val="24"/>
                <w:u w:val="none"/>
                <w:lang w:val="en-US" w:eastAsia="zh-CN" w:bidi="ar"/>
              </w:rPr>
              <w:t>鹿甲胶</w:t>
            </w:r>
          </w:p>
        </w:tc>
        <w:tc>
          <w:tcPr>
            <w:tcW w:w="785" w:type="dxa"/>
            <w:noWrap w:val="0"/>
            <w:tcMar>
              <w:top w:w="15" w:type="dxa"/>
              <w:left w:w="15" w:type="dxa"/>
              <w:right w:w="15" w:type="dxa"/>
            </w:tcMar>
            <w:vAlign w:val="center"/>
          </w:tcPr>
          <w:p>
            <w:pPr>
              <w:spacing w:line="240" w:lineRule="auto"/>
              <w:jc w:val="center"/>
              <w:rPr>
                <w:rFonts w:hint="eastAsia" w:ascii="宋体" w:hAnsi="宋体" w:eastAsia="宋体" w:cs="宋体"/>
                <w:color w:val="000000"/>
                <w:spacing w:val="0"/>
                <w:sz w:val="24"/>
                <w:szCs w:val="24"/>
              </w:rPr>
            </w:pPr>
          </w:p>
        </w:tc>
        <w:tc>
          <w:tcPr>
            <w:tcW w:w="3800" w:type="dxa"/>
            <w:noWrap w:val="0"/>
            <w:tcMar>
              <w:top w:w="15" w:type="dxa"/>
              <w:left w:w="15" w:type="dxa"/>
              <w:right w:w="15" w:type="dxa"/>
            </w:tcMar>
            <w:vAlign w:val="center"/>
          </w:tcPr>
          <w:p>
            <w:pPr>
              <w:keepNext w:val="0"/>
              <w:keepLines w:val="0"/>
              <w:widowControl/>
              <w:suppressLineNumbers w:val="0"/>
              <w:spacing w:line="240" w:lineRule="auto"/>
              <w:jc w:val="both"/>
              <w:textAlignment w:val="center"/>
              <w:rPr>
                <w:rFonts w:hint="eastAsia" w:ascii="宋体" w:hAnsi="宋体" w:eastAsia="宋体" w:cs="宋体"/>
                <w:color w:val="000000"/>
                <w:spacing w:val="0"/>
                <w:sz w:val="24"/>
                <w:szCs w:val="24"/>
              </w:rPr>
            </w:pPr>
            <w:r>
              <w:rPr>
                <w:rFonts w:hint="eastAsia" w:ascii="宋体" w:hAnsi="宋体" w:eastAsia="宋体" w:cs="宋体"/>
                <w:i w:val="0"/>
                <w:iCs w:val="0"/>
                <w:color w:val="000000"/>
                <w:spacing w:val="0"/>
                <w:kern w:val="0"/>
                <w:sz w:val="24"/>
                <w:szCs w:val="24"/>
                <w:u w:val="none"/>
                <w:lang w:val="en-US" w:eastAsia="zh-CN" w:bidi="ar"/>
              </w:rPr>
              <w:t>《中华人民共和国药典》现行版标准</w:t>
            </w:r>
          </w:p>
        </w:tc>
        <w:tc>
          <w:tcPr>
            <w:tcW w:w="1238" w:type="dxa"/>
            <w:noWrap w:val="0"/>
            <w:tcMar>
              <w:top w:w="15" w:type="dxa"/>
              <w:left w:w="15" w:type="dxa"/>
              <w:right w:w="15" w:type="dxa"/>
            </w:tcMar>
            <w:vAlign w:val="center"/>
          </w:tcPr>
          <w:p>
            <w:pPr>
              <w:spacing w:line="240" w:lineRule="auto"/>
              <w:jc w:val="left"/>
              <w:rPr>
                <w:rFonts w:hint="eastAsia" w:ascii="宋体" w:hAnsi="宋体" w:eastAsia="宋体" w:cs="宋体"/>
                <w:color w:val="000000"/>
                <w:spacing w:val="0"/>
                <w:sz w:val="24"/>
                <w:szCs w:val="24"/>
              </w:rPr>
            </w:pPr>
          </w:p>
        </w:tc>
        <w:tc>
          <w:tcPr>
            <w:tcW w:w="1644" w:type="dxa"/>
            <w:noWrap w:val="0"/>
            <w:tcMar>
              <w:top w:w="15" w:type="dxa"/>
              <w:left w:w="15" w:type="dxa"/>
              <w:right w:w="15" w:type="dxa"/>
            </w:tcMar>
            <w:vAlign w:val="center"/>
          </w:tcPr>
          <w:p>
            <w:pPr>
              <w:spacing w:line="240" w:lineRule="auto"/>
              <w:jc w:val="center"/>
              <w:rPr>
                <w:rFonts w:hint="eastAsia" w:ascii="宋体" w:hAnsi="宋体" w:eastAsia="宋体" w:cs="宋体"/>
                <w:color w:val="000000"/>
                <w:spacing w:val="0"/>
                <w:sz w:val="24"/>
                <w:szCs w:val="24"/>
              </w:rPr>
            </w:pPr>
          </w:p>
        </w:tc>
      </w:tr>
      <w:bookmarkEnd w:id="2"/>
    </w:tbl>
    <w:p>
      <w:pPr>
        <w:pStyle w:val="2"/>
        <w:ind w:firstLine="480" w:firstLineChars="200"/>
        <w:jc w:val="left"/>
        <w:rPr>
          <w:rFonts w:hint="eastAsia" w:ascii="宋体" w:hAnsi="宋体" w:cs="宋体"/>
          <w:bCs/>
          <w:spacing w:val="0"/>
          <w:sz w:val="24"/>
          <w:szCs w:val="24"/>
        </w:rPr>
      </w:pPr>
      <w:r>
        <w:rPr>
          <w:rFonts w:hint="eastAsia" w:ascii="宋体" w:hAnsi="宋体" w:cs="宋体"/>
          <w:bCs/>
          <w:spacing w:val="0"/>
          <w:sz w:val="24"/>
          <w:szCs w:val="24"/>
        </w:rPr>
        <w:t>备注：上表等级要求为最低要求，欢迎</w:t>
      </w:r>
      <w:r>
        <w:rPr>
          <w:rFonts w:hint="eastAsia" w:ascii="宋体" w:hAnsi="宋体" w:cs="宋体"/>
          <w:bCs/>
          <w:spacing w:val="0"/>
          <w:sz w:val="24"/>
          <w:szCs w:val="24"/>
          <w:lang w:eastAsia="zh-CN"/>
        </w:rPr>
        <w:t>参选单位</w:t>
      </w:r>
      <w:r>
        <w:rPr>
          <w:rFonts w:hint="eastAsia" w:ascii="宋体" w:hAnsi="宋体" w:cs="宋体"/>
          <w:bCs/>
          <w:spacing w:val="0"/>
          <w:sz w:val="24"/>
          <w:szCs w:val="24"/>
        </w:rPr>
        <w:t>提供更优的中药饮片。</w:t>
      </w:r>
    </w:p>
    <w:p>
      <w:pPr>
        <w:pStyle w:val="2"/>
        <w:rPr>
          <w:rFonts w:hint="eastAsia" w:ascii="宋体" w:hAnsi="宋体" w:cs="宋体"/>
          <w:bCs/>
          <w:spacing w:val="0"/>
        </w:rPr>
      </w:pPr>
    </w:p>
    <w:p>
      <w:pPr>
        <w:spacing w:before="319" w:beforeLines="100" w:after="319" w:afterLines="100"/>
        <w:jc w:val="center"/>
        <w:outlineLvl w:val="2"/>
        <w:rPr>
          <w:rFonts w:hint="eastAsia" w:ascii="宋体" w:hAnsi="宋体" w:eastAsia="宋体" w:cs="宋体"/>
          <w:b/>
          <w:bCs/>
          <w:spacing w:val="0"/>
          <w:sz w:val="24"/>
          <w:lang w:eastAsia="zh-CN"/>
        </w:rPr>
      </w:pPr>
      <w:r>
        <w:rPr>
          <w:rFonts w:hint="eastAsia" w:ascii="宋体" w:hAnsi="宋体" w:cs="宋体"/>
          <w:b/>
          <w:bCs/>
          <w:spacing w:val="0"/>
          <w:sz w:val="24"/>
        </w:rPr>
        <w:t>附件</w:t>
      </w:r>
      <w:r>
        <w:rPr>
          <w:rFonts w:hint="eastAsia" w:ascii="宋体" w:hAnsi="宋体" w:cs="宋体"/>
          <w:b/>
          <w:bCs/>
          <w:spacing w:val="0"/>
          <w:sz w:val="24"/>
          <w:lang w:val="en-US" w:eastAsia="zh-CN"/>
        </w:rPr>
        <w:t xml:space="preserve">3 </w:t>
      </w:r>
      <w:r>
        <w:rPr>
          <w:rFonts w:hint="eastAsia" w:ascii="宋体" w:hAnsi="宋体" w:cs="宋体"/>
          <w:b/>
          <w:bCs/>
          <w:spacing w:val="0"/>
          <w:sz w:val="24"/>
        </w:rPr>
        <w:t>中药饮片供应商定期评估考核表</w:t>
      </w:r>
      <w:r>
        <w:rPr>
          <w:rFonts w:hint="eastAsia" w:ascii="宋体" w:hAnsi="宋体" w:cs="宋体"/>
          <w:b/>
          <w:bCs/>
          <w:spacing w:val="0"/>
          <w:sz w:val="24"/>
          <w:lang w:eastAsia="zh-CN"/>
        </w:rPr>
        <w:t>（参考内容）</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01"/>
        <w:gridCol w:w="3089"/>
        <w:gridCol w:w="1163"/>
        <w:gridCol w:w="993"/>
        <w:gridCol w:w="14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498" w:type="dxa"/>
            <w:gridSpan w:val="6"/>
            <w:noWrap w:val="0"/>
            <w:vAlign w:val="center"/>
          </w:tcPr>
          <w:p>
            <w:pPr>
              <w:jc w:val="center"/>
              <w:rPr>
                <w:rFonts w:hint="eastAsia" w:ascii="宋体" w:hAnsi="宋体" w:cs="宋体"/>
                <w:spacing w:val="0"/>
                <w:sz w:val="24"/>
              </w:rPr>
            </w:pPr>
            <w:r>
              <w:rPr>
                <w:rFonts w:hint="eastAsia" w:ascii="宋体" w:hAnsi="宋体" w:cs="宋体"/>
                <w:spacing w:val="0"/>
                <w:sz w:val="24"/>
              </w:rPr>
              <w:t xml:space="preserve">    供应商评价表               填表人：          日期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065"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药</w:t>
            </w:r>
          </w:p>
          <w:p>
            <w:pPr>
              <w:jc w:val="center"/>
              <w:rPr>
                <w:rFonts w:hint="eastAsia" w:ascii="宋体" w:hAnsi="宋体" w:cs="宋体"/>
                <w:spacing w:val="0"/>
                <w:sz w:val="24"/>
              </w:rPr>
            </w:pPr>
            <w:r>
              <w:rPr>
                <w:rFonts w:hint="eastAsia" w:ascii="宋体" w:hAnsi="宋体" w:cs="宋体"/>
                <w:spacing w:val="0"/>
                <w:sz w:val="24"/>
              </w:rPr>
              <w:t>品</w:t>
            </w:r>
          </w:p>
          <w:p>
            <w:pPr>
              <w:jc w:val="center"/>
              <w:rPr>
                <w:rFonts w:hint="eastAsia" w:ascii="宋体" w:hAnsi="宋体" w:cs="宋体"/>
                <w:spacing w:val="0"/>
                <w:sz w:val="24"/>
              </w:rPr>
            </w:pPr>
            <w:r>
              <w:rPr>
                <w:rFonts w:hint="eastAsia" w:ascii="宋体" w:hAnsi="宋体" w:cs="宋体"/>
                <w:spacing w:val="0"/>
                <w:sz w:val="24"/>
              </w:rPr>
              <w:t>质</w:t>
            </w:r>
          </w:p>
          <w:p>
            <w:pPr>
              <w:jc w:val="center"/>
              <w:rPr>
                <w:rFonts w:hint="eastAsia" w:ascii="宋体" w:hAnsi="宋体" w:cs="宋体"/>
                <w:spacing w:val="0"/>
                <w:sz w:val="24"/>
              </w:rPr>
            </w:pPr>
            <w:r>
              <w:rPr>
                <w:rFonts w:hint="eastAsia" w:ascii="宋体" w:hAnsi="宋体" w:cs="宋体"/>
                <w:spacing w:val="0"/>
                <w:sz w:val="24"/>
              </w:rPr>
              <w:t>量</w:t>
            </w:r>
          </w:p>
          <w:p>
            <w:pPr>
              <w:jc w:val="center"/>
              <w:rPr>
                <w:rFonts w:hint="eastAsia" w:ascii="宋体" w:hAnsi="宋体" w:cs="宋体"/>
                <w:spacing w:val="0"/>
                <w:sz w:val="24"/>
              </w:rPr>
            </w:pPr>
            <w:r>
              <w:rPr>
                <w:rFonts w:hint="eastAsia" w:ascii="宋体" w:hAnsi="宋体" w:cs="宋体"/>
                <w:spacing w:val="0"/>
                <w:sz w:val="24"/>
              </w:rPr>
              <w:t>60</w:t>
            </w:r>
          </w:p>
          <w:p>
            <w:pPr>
              <w:jc w:val="center"/>
              <w:rPr>
                <w:rFonts w:hint="eastAsia" w:ascii="宋体" w:hAnsi="宋体" w:cs="宋体"/>
                <w:spacing w:val="0"/>
                <w:sz w:val="24"/>
              </w:rPr>
            </w:pPr>
            <w:r>
              <w:rPr>
                <w:rFonts w:hint="eastAsia" w:ascii="宋体" w:hAnsi="宋体" w:cs="宋体"/>
                <w:spacing w:val="0"/>
                <w:sz w:val="24"/>
              </w:rPr>
              <w:t>分</w:t>
            </w:r>
          </w:p>
        </w:tc>
        <w:tc>
          <w:tcPr>
            <w:tcW w:w="1701" w:type="dxa"/>
            <w:noWrap w:val="0"/>
            <w:vAlign w:val="center"/>
          </w:tcPr>
          <w:p>
            <w:pPr>
              <w:jc w:val="center"/>
              <w:rPr>
                <w:rFonts w:hint="eastAsia" w:ascii="宋体" w:hAnsi="宋体" w:cs="宋体"/>
                <w:spacing w:val="0"/>
                <w:sz w:val="24"/>
              </w:rPr>
            </w:pPr>
            <w:r>
              <w:rPr>
                <w:rFonts w:hint="eastAsia" w:ascii="宋体" w:hAnsi="宋体" w:cs="宋体"/>
                <w:spacing w:val="0"/>
                <w:sz w:val="24"/>
              </w:rPr>
              <w:t>项目</w:t>
            </w:r>
          </w:p>
        </w:tc>
        <w:tc>
          <w:tcPr>
            <w:tcW w:w="3089" w:type="dxa"/>
            <w:noWrap w:val="0"/>
            <w:vAlign w:val="center"/>
          </w:tcPr>
          <w:p>
            <w:pPr>
              <w:jc w:val="center"/>
              <w:rPr>
                <w:rFonts w:hint="eastAsia" w:ascii="宋体" w:hAnsi="宋体" w:cs="宋体"/>
                <w:spacing w:val="0"/>
                <w:sz w:val="24"/>
              </w:rPr>
            </w:pPr>
            <w:r>
              <w:rPr>
                <w:rFonts w:hint="eastAsia" w:ascii="宋体" w:hAnsi="宋体" w:cs="宋体"/>
                <w:spacing w:val="0"/>
                <w:sz w:val="24"/>
              </w:rPr>
              <w:t>评价标准</w:t>
            </w:r>
          </w:p>
        </w:tc>
        <w:tc>
          <w:tcPr>
            <w:tcW w:w="1163" w:type="dxa"/>
            <w:noWrap w:val="0"/>
            <w:vAlign w:val="center"/>
          </w:tcPr>
          <w:p>
            <w:pPr>
              <w:jc w:val="center"/>
              <w:rPr>
                <w:rFonts w:hint="eastAsia" w:ascii="宋体" w:hAnsi="宋体" w:cs="宋体"/>
                <w:spacing w:val="0"/>
                <w:sz w:val="24"/>
              </w:rPr>
            </w:pPr>
            <w:r>
              <w:rPr>
                <w:rFonts w:hint="eastAsia" w:ascii="宋体" w:hAnsi="宋体" w:cs="宋体"/>
                <w:spacing w:val="0"/>
                <w:sz w:val="24"/>
              </w:rPr>
              <w:t>分值</w:t>
            </w:r>
          </w:p>
        </w:tc>
        <w:tc>
          <w:tcPr>
            <w:tcW w:w="993" w:type="dxa"/>
            <w:noWrap w:val="0"/>
            <w:vAlign w:val="center"/>
          </w:tcPr>
          <w:p>
            <w:pPr>
              <w:jc w:val="center"/>
              <w:rPr>
                <w:rFonts w:hint="eastAsia" w:ascii="宋体" w:hAnsi="宋体" w:cs="宋体"/>
                <w:spacing w:val="0"/>
                <w:sz w:val="24"/>
              </w:rPr>
            </w:pPr>
            <w:r>
              <w:rPr>
                <w:rFonts w:hint="eastAsia" w:ascii="宋体" w:hAnsi="宋体" w:cs="宋体"/>
                <w:spacing w:val="0"/>
                <w:sz w:val="24"/>
              </w:rPr>
              <w:t>扣分</w:t>
            </w:r>
          </w:p>
        </w:tc>
        <w:tc>
          <w:tcPr>
            <w:tcW w:w="1487" w:type="dxa"/>
            <w:noWrap w:val="0"/>
            <w:vAlign w:val="center"/>
          </w:tcPr>
          <w:p>
            <w:pPr>
              <w:jc w:val="center"/>
              <w:rPr>
                <w:rFonts w:hint="eastAsia" w:ascii="宋体" w:hAnsi="宋体" w:cs="宋体"/>
                <w:spacing w:val="0"/>
                <w:sz w:val="24"/>
              </w:rPr>
            </w:pPr>
            <w:r>
              <w:rPr>
                <w:rFonts w:hint="eastAsia" w:ascii="宋体" w:hAnsi="宋体" w:cs="宋体"/>
                <w:spacing w:val="0"/>
                <w:sz w:val="24"/>
              </w:rPr>
              <w:t>原因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制假售假</w:t>
            </w:r>
          </w:p>
          <w:p>
            <w:pPr>
              <w:jc w:val="center"/>
              <w:rPr>
                <w:rFonts w:hint="eastAsia" w:ascii="宋体" w:hAnsi="宋体" w:cs="宋体"/>
                <w:spacing w:val="0"/>
                <w:sz w:val="24"/>
              </w:rPr>
            </w:pPr>
            <w:r>
              <w:rPr>
                <w:rFonts w:hint="eastAsia" w:ascii="宋体" w:hAnsi="宋体" w:cs="宋体"/>
                <w:spacing w:val="0"/>
                <w:sz w:val="24"/>
              </w:rPr>
              <w:t>(10分)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验收发现假药</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60分/次</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验收发现劣药</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10分/次</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抽检不合格</w:t>
            </w:r>
          </w:p>
          <w:p>
            <w:pPr>
              <w:jc w:val="center"/>
              <w:rPr>
                <w:rFonts w:hint="eastAsia" w:ascii="宋体" w:hAnsi="宋体" w:cs="宋体"/>
                <w:spacing w:val="0"/>
                <w:sz w:val="24"/>
              </w:rPr>
            </w:pPr>
            <w:r>
              <w:rPr>
                <w:rFonts w:hint="eastAsia" w:ascii="宋体" w:hAnsi="宋体" w:cs="宋体"/>
                <w:spacing w:val="0"/>
                <w:sz w:val="24"/>
              </w:rPr>
              <w:t>（10分）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省、市药监部门抽检不合格</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10分/个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医院抽检不合格</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5分/个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霉变、虫蛀等</w:t>
            </w:r>
          </w:p>
          <w:p>
            <w:pPr>
              <w:jc w:val="center"/>
              <w:rPr>
                <w:rFonts w:hint="eastAsia" w:ascii="宋体" w:hAnsi="宋体" w:cs="宋体"/>
                <w:spacing w:val="0"/>
                <w:sz w:val="24"/>
              </w:rPr>
            </w:pPr>
            <w:r>
              <w:rPr>
                <w:rFonts w:hint="eastAsia" w:ascii="宋体" w:hAnsi="宋体" w:cs="宋体"/>
                <w:spacing w:val="0"/>
                <w:sz w:val="24"/>
              </w:rPr>
              <w:t>（10分）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验收时发现霉变、虫蛀、泛油、变色等</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1分/个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入库后3个月内发生霉变、虫蛀、泛油、变色等</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装量差异</w:t>
            </w:r>
          </w:p>
          <w:p>
            <w:pPr>
              <w:jc w:val="center"/>
              <w:rPr>
                <w:rFonts w:hint="eastAsia" w:ascii="宋体" w:hAnsi="宋体" w:cs="宋体"/>
                <w:spacing w:val="0"/>
                <w:sz w:val="24"/>
              </w:rPr>
            </w:pPr>
            <w:r>
              <w:rPr>
                <w:rFonts w:hint="eastAsia" w:ascii="宋体" w:hAnsi="宋体" w:cs="宋体"/>
                <w:spacing w:val="0"/>
                <w:sz w:val="24"/>
              </w:rPr>
              <w:t>（10分）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每100小包超过10包不合格</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0.5分/次</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各品种累积超过10次</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0.5分/次</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杂质含</w:t>
            </w:r>
            <w:bookmarkStart w:id="3" w:name="_GoBack"/>
            <w:bookmarkEnd w:id="3"/>
            <w:r>
              <w:rPr>
                <w:rFonts w:hint="eastAsia" w:ascii="宋体" w:hAnsi="宋体" w:cs="宋体"/>
                <w:spacing w:val="0"/>
                <w:sz w:val="24"/>
              </w:rPr>
              <w:t>量</w:t>
            </w:r>
          </w:p>
          <w:p>
            <w:pPr>
              <w:jc w:val="center"/>
              <w:rPr>
                <w:rFonts w:hint="eastAsia" w:ascii="宋体" w:hAnsi="宋体" w:cs="宋体"/>
                <w:spacing w:val="0"/>
                <w:sz w:val="24"/>
              </w:rPr>
            </w:pPr>
            <w:r>
              <w:rPr>
                <w:rFonts w:hint="eastAsia" w:ascii="宋体" w:hAnsi="宋体" w:cs="宋体"/>
                <w:spacing w:val="0"/>
                <w:sz w:val="24"/>
              </w:rPr>
              <w:t>（10分）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小包装内发现杂质</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0.5分/包</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小包装内饮片碎末占改包装50%及以上</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0.5分/包</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药品包装</w:t>
            </w:r>
          </w:p>
          <w:p>
            <w:pPr>
              <w:jc w:val="center"/>
              <w:rPr>
                <w:rFonts w:hint="eastAsia" w:ascii="宋体" w:hAnsi="宋体" w:cs="宋体"/>
                <w:spacing w:val="0"/>
                <w:sz w:val="24"/>
              </w:rPr>
            </w:pPr>
            <w:r>
              <w:rPr>
                <w:rFonts w:hint="eastAsia" w:ascii="宋体" w:hAnsi="宋体" w:cs="宋体"/>
                <w:spacing w:val="0"/>
                <w:sz w:val="24"/>
              </w:rPr>
              <w:t>（10分）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每100小包超过3包破损或连包</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品名与现有品种不符，未告知</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1分/个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规格与现有品种不符，未告知</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1分/个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厂家与现有品种不符，未告知</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1分/个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饮片批号超过药房规定，未告知</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065"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服</w:t>
            </w:r>
          </w:p>
          <w:p>
            <w:pPr>
              <w:jc w:val="center"/>
              <w:rPr>
                <w:rFonts w:hint="eastAsia" w:ascii="宋体" w:hAnsi="宋体" w:cs="宋体"/>
                <w:spacing w:val="0"/>
                <w:sz w:val="24"/>
              </w:rPr>
            </w:pPr>
            <w:r>
              <w:rPr>
                <w:rFonts w:hint="eastAsia" w:ascii="宋体" w:hAnsi="宋体" w:cs="宋体"/>
                <w:spacing w:val="0"/>
                <w:sz w:val="24"/>
              </w:rPr>
              <w:t>务</w:t>
            </w:r>
          </w:p>
          <w:p>
            <w:pPr>
              <w:jc w:val="center"/>
              <w:rPr>
                <w:rFonts w:hint="eastAsia" w:ascii="宋体" w:hAnsi="宋体" w:cs="宋体"/>
                <w:spacing w:val="0"/>
                <w:sz w:val="24"/>
              </w:rPr>
            </w:pPr>
            <w:r>
              <w:rPr>
                <w:rFonts w:hint="eastAsia" w:ascii="宋体" w:hAnsi="宋体" w:cs="宋体"/>
                <w:spacing w:val="0"/>
                <w:sz w:val="24"/>
              </w:rPr>
              <w:t>质</w:t>
            </w:r>
          </w:p>
          <w:p>
            <w:pPr>
              <w:jc w:val="center"/>
              <w:rPr>
                <w:rFonts w:hint="eastAsia" w:ascii="宋体" w:hAnsi="宋体" w:cs="宋体"/>
                <w:spacing w:val="0"/>
                <w:sz w:val="24"/>
              </w:rPr>
            </w:pPr>
            <w:r>
              <w:rPr>
                <w:rFonts w:hint="eastAsia" w:ascii="宋体" w:hAnsi="宋体" w:cs="宋体"/>
                <w:spacing w:val="0"/>
                <w:sz w:val="24"/>
              </w:rPr>
              <w:t>量</w:t>
            </w:r>
          </w:p>
          <w:p>
            <w:pPr>
              <w:jc w:val="center"/>
              <w:rPr>
                <w:rFonts w:hint="eastAsia" w:ascii="宋体" w:hAnsi="宋体" w:cs="宋体"/>
                <w:spacing w:val="0"/>
                <w:sz w:val="24"/>
              </w:rPr>
            </w:pPr>
            <w:r>
              <w:rPr>
                <w:rFonts w:hint="eastAsia" w:ascii="宋体" w:hAnsi="宋体" w:cs="宋体"/>
                <w:spacing w:val="0"/>
                <w:sz w:val="24"/>
              </w:rPr>
              <w:t>35</w:t>
            </w:r>
          </w:p>
          <w:p>
            <w:pPr>
              <w:jc w:val="center"/>
              <w:rPr>
                <w:rFonts w:hint="eastAsia" w:ascii="宋体" w:hAnsi="宋体" w:cs="宋体"/>
                <w:spacing w:val="0"/>
                <w:sz w:val="24"/>
              </w:rPr>
            </w:pPr>
            <w:r>
              <w:rPr>
                <w:rFonts w:hint="eastAsia" w:ascii="宋体" w:hAnsi="宋体" w:cs="宋体"/>
                <w:spacing w:val="0"/>
                <w:sz w:val="24"/>
              </w:rPr>
              <w:t>分</w:t>
            </w:r>
          </w:p>
        </w:tc>
        <w:tc>
          <w:tcPr>
            <w:tcW w:w="1701"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到货及时</w:t>
            </w:r>
          </w:p>
          <w:p>
            <w:pPr>
              <w:jc w:val="center"/>
              <w:rPr>
                <w:rFonts w:hint="eastAsia" w:ascii="宋体" w:hAnsi="宋体" w:cs="宋体"/>
                <w:spacing w:val="0"/>
                <w:sz w:val="24"/>
              </w:rPr>
            </w:pPr>
            <w:r>
              <w:rPr>
                <w:rFonts w:hint="eastAsia" w:ascii="宋体" w:hAnsi="宋体" w:cs="宋体"/>
                <w:spacing w:val="0"/>
                <w:sz w:val="24"/>
              </w:rPr>
              <w:t>（10分）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送货不及时造成缺断货</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2分/次</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未按规定时间送货</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1分/次</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noWrap w:val="0"/>
            <w:vAlign w:val="center"/>
          </w:tcPr>
          <w:p>
            <w:pPr>
              <w:jc w:val="center"/>
              <w:rPr>
                <w:rFonts w:hint="eastAsia" w:ascii="宋体" w:hAnsi="宋体" w:cs="宋体"/>
                <w:spacing w:val="0"/>
                <w:sz w:val="24"/>
              </w:rPr>
            </w:pPr>
            <w:r>
              <w:rPr>
                <w:rFonts w:hint="eastAsia" w:ascii="宋体" w:hAnsi="宋体" w:cs="宋体"/>
                <w:spacing w:val="0"/>
                <w:sz w:val="24"/>
              </w:rPr>
              <w:t>药品价格</w:t>
            </w:r>
          </w:p>
          <w:p>
            <w:pPr>
              <w:jc w:val="center"/>
              <w:rPr>
                <w:rFonts w:hint="eastAsia" w:ascii="宋体" w:hAnsi="宋体" w:cs="宋体"/>
                <w:spacing w:val="0"/>
                <w:sz w:val="24"/>
              </w:rPr>
            </w:pPr>
            <w:r>
              <w:rPr>
                <w:rFonts w:hint="eastAsia" w:ascii="宋体" w:hAnsi="宋体" w:cs="宋体"/>
                <w:spacing w:val="0"/>
                <w:sz w:val="24"/>
              </w:rPr>
              <w:t>（5分）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因市场药品价格高于医院价格，而拒绝供货者，扣分可重复</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5分/个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票货处理</w:t>
            </w:r>
          </w:p>
          <w:p>
            <w:pPr>
              <w:jc w:val="center"/>
              <w:rPr>
                <w:rFonts w:hint="eastAsia" w:ascii="宋体" w:hAnsi="宋体" w:cs="宋体"/>
                <w:spacing w:val="0"/>
                <w:sz w:val="24"/>
              </w:rPr>
            </w:pPr>
            <w:r>
              <w:rPr>
                <w:rFonts w:hint="eastAsia" w:ascii="宋体" w:hAnsi="宋体" w:cs="宋体"/>
                <w:spacing w:val="0"/>
                <w:sz w:val="24"/>
              </w:rPr>
              <w:t>（5分）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开票单据内容与实物不符</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验收记录、发票未随货同行</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0.5分/次</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手工单据超48小时未补齐正规发票</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0.5分/次</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药品上架</w:t>
            </w:r>
          </w:p>
          <w:p>
            <w:pPr>
              <w:jc w:val="center"/>
              <w:rPr>
                <w:rFonts w:hint="eastAsia" w:ascii="宋体" w:hAnsi="宋体" w:cs="宋体"/>
                <w:spacing w:val="0"/>
                <w:sz w:val="24"/>
              </w:rPr>
            </w:pPr>
            <w:r>
              <w:rPr>
                <w:rFonts w:hint="eastAsia" w:ascii="宋体" w:hAnsi="宋体" w:cs="宋体"/>
                <w:spacing w:val="0"/>
                <w:sz w:val="24"/>
              </w:rPr>
              <w:t>（5分）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药品上错位</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1分/个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未按先进先出原则摆放</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药品上架杂乱，不整齐超过3次</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0.5分/次</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药品上架不及时，超过24小时者</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0.5分/次</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restart"/>
            <w:noWrap w:val="0"/>
            <w:vAlign w:val="center"/>
          </w:tcPr>
          <w:p>
            <w:pPr>
              <w:jc w:val="center"/>
              <w:rPr>
                <w:rFonts w:hint="eastAsia" w:ascii="宋体" w:hAnsi="宋体" w:cs="宋体"/>
                <w:spacing w:val="0"/>
                <w:sz w:val="24"/>
              </w:rPr>
            </w:pPr>
            <w:r>
              <w:rPr>
                <w:rFonts w:hint="eastAsia" w:ascii="宋体" w:hAnsi="宋体" w:cs="宋体"/>
                <w:spacing w:val="0"/>
                <w:sz w:val="24"/>
              </w:rPr>
              <w:t>退换货处理</w:t>
            </w:r>
          </w:p>
          <w:p>
            <w:pPr>
              <w:jc w:val="center"/>
              <w:rPr>
                <w:rFonts w:hint="eastAsia" w:ascii="宋体" w:hAnsi="宋体" w:cs="宋体"/>
                <w:spacing w:val="0"/>
                <w:sz w:val="24"/>
              </w:rPr>
            </w:pPr>
            <w:r>
              <w:rPr>
                <w:rFonts w:hint="eastAsia" w:ascii="宋体" w:hAnsi="宋体" w:cs="宋体"/>
                <w:spacing w:val="0"/>
                <w:sz w:val="24"/>
              </w:rPr>
              <w:t>（5分）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验收环节发生的退换货，超48小时未及时处理</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0.5分/天</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养护环节发生的退换货，超48小时未及时处理</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0.5分/天</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vMerge w:val="continue"/>
            <w:noWrap w:val="0"/>
            <w:vAlign w:val="center"/>
          </w:tcPr>
          <w:p>
            <w:pPr>
              <w:jc w:val="center"/>
              <w:rPr>
                <w:rFonts w:hint="eastAsia" w:ascii="宋体" w:hAnsi="宋体" w:cs="宋体"/>
                <w:spacing w:val="0"/>
                <w:sz w:val="24"/>
              </w:rPr>
            </w:pP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退货超1个月未开退票</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0.5分/个</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noWrap w:val="0"/>
            <w:vAlign w:val="top"/>
          </w:tcPr>
          <w:p>
            <w:pPr>
              <w:rPr>
                <w:rFonts w:hint="eastAsia" w:ascii="宋体" w:hAnsi="宋体" w:cs="宋体"/>
                <w:spacing w:val="0"/>
                <w:sz w:val="24"/>
              </w:rPr>
            </w:pPr>
          </w:p>
        </w:tc>
        <w:tc>
          <w:tcPr>
            <w:tcW w:w="1701" w:type="dxa"/>
            <w:noWrap w:val="0"/>
            <w:vAlign w:val="center"/>
          </w:tcPr>
          <w:p>
            <w:pPr>
              <w:jc w:val="center"/>
              <w:rPr>
                <w:rFonts w:hint="eastAsia" w:ascii="宋体" w:hAnsi="宋体" w:cs="宋体"/>
                <w:spacing w:val="0"/>
                <w:sz w:val="24"/>
              </w:rPr>
            </w:pPr>
            <w:r>
              <w:rPr>
                <w:rFonts w:hint="eastAsia" w:ascii="宋体" w:hAnsi="宋体" w:cs="宋体"/>
                <w:spacing w:val="0"/>
                <w:sz w:val="24"/>
              </w:rPr>
              <w:t>及时清场</w:t>
            </w:r>
          </w:p>
          <w:p>
            <w:pPr>
              <w:jc w:val="center"/>
              <w:rPr>
                <w:rFonts w:hint="eastAsia" w:ascii="宋体" w:hAnsi="宋体" w:cs="宋体"/>
                <w:spacing w:val="0"/>
                <w:sz w:val="24"/>
              </w:rPr>
            </w:pPr>
            <w:r>
              <w:rPr>
                <w:rFonts w:hint="eastAsia" w:ascii="宋体" w:hAnsi="宋体" w:cs="宋体"/>
                <w:spacing w:val="0"/>
                <w:sz w:val="24"/>
              </w:rPr>
              <w:t>（5分）</w:t>
            </w:r>
          </w:p>
        </w:tc>
        <w:tc>
          <w:tcPr>
            <w:tcW w:w="3089" w:type="dxa"/>
            <w:noWrap w:val="0"/>
            <w:vAlign w:val="center"/>
          </w:tcPr>
          <w:p>
            <w:pPr>
              <w:rPr>
                <w:rFonts w:hint="eastAsia" w:ascii="宋体" w:hAnsi="宋体" w:cs="宋体"/>
                <w:spacing w:val="0"/>
                <w:sz w:val="24"/>
              </w:rPr>
            </w:pPr>
            <w:r>
              <w:rPr>
                <w:rFonts w:hint="eastAsia" w:ascii="宋体" w:hAnsi="宋体" w:cs="宋体"/>
                <w:spacing w:val="0"/>
                <w:sz w:val="24"/>
              </w:rPr>
              <w:t>上架后未及时清场</w:t>
            </w:r>
          </w:p>
        </w:tc>
        <w:tc>
          <w:tcPr>
            <w:tcW w:w="1163" w:type="dxa"/>
            <w:noWrap w:val="0"/>
            <w:vAlign w:val="center"/>
          </w:tcPr>
          <w:p>
            <w:pPr>
              <w:rPr>
                <w:rFonts w:hint="eastAsia" w:ascii="宋体" w:hAnsi="宋体" w:cs="宋体"/>
                <w:spacing w:val="0"/>
                <w:sz w:val="24"/>
              </w:rPr>
            </w:pPr>
            <w:r>
              <w:rPr>
                <w:rFonts w:hint="eastAsia" w:ascii="宋体" w:hAnsi="宋体" w:cs="宋体"/>
                <w:spacing w:val="0"/>
                <w:sz w:val="24"/>
              </w:rPr>
              <w:t>0.5分/次</w:t>
            </w:r>
          </w:p>
        </w:tc>
        <w:tc>
          <w:tcPr>
            <w:tcW w:w="993" w:type="dxa"/>
            <w:noWrap w:val="0"/>
            <w:vAlign w:val="center"/>
          </w:tcPr>
          <w:p>
            <w:pPr>
              <w:rPr>
                <w:rFonts w:hint="eastAsia" w:ascii="宋体" w:hAnsi="宋体" w:cs="宋体"/>
                <w:spacing w:val="0"/>
                <w:sz w:val="24"/>
              </w:rPr>
            </w:pPr>
          </w:p>
        </w:tc>
        <w:tc>
          <w:tcPr>
            <w:tcW w:w="1487" w:type="dxa"/>
            <w:noWrap w:val="0"/>
            <w:vAlign w:val="center"/>
          </w:tcPr>
          <w:p>
            <w:pP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065" w:type="dxa"/>
            <w:noWrap w:val="0"/>
            <w:vAlign w:val="center"/>
          </w:tcPr>
          <w:p>
            <w:pPr>
              <w:jc w:val="center"/>
              <w:rPr>
                <w:rFonts w:hint="eastAsia" w:ascii="宋体" w:hAnsi="宋体" w:cs="宋体"/>
                <w:spacing w:val="0"/>
                <w:sz w:val="24"/>
              </w:rPr>
            </w:pPr>
            <w:r>
              <w:rPr>
                <w:rFonts w:hint="eastAsia" w:ascii="宋体" w:hAnsi="宋体" w:cs="宋体"/>
                <w:spacing w:val="0"/>
                <w:sz w:val="24"/>
              </w:rPr>
              <w:t>加分（5分）</w:t>
            </w:r>
          </w:p>
        </w:tc>
        <w:tc>
          <w:tcPr>
            <w:tcW w:w="4790" w:type="dxa"/>
            <w:gridSpan w:val="2"/>
            <w:noWrap w:val="0"/>
            <w:vAlign w:val="center"/>
          </w:tcPr>
          <w:p>
            <w:pPr>
              <w:jc w:val="center"/>
              <w:rPr>
                <w:rFonts w:hint="eastAsia" w:ascii="宋体" w:hAnsi="宋体" w:cs="宋体"/>
                <w:spacing w:val="0"/>
                <w:sz w:val="24"/>
              </w:rPr>
            </w:pPr>
            <w:r>
              <w:rPr>
                <w:rFonts w:hint="eastAsia" w:ascii="宋体" w:hAnsi="宋体" w:cs="宋体"/>
                <w:spacing w:val="0"/>
                <w:sz w:val="24"/>
              </w:rPr>
              <w:t>配合完成医院布置的临时任务</w:t>
            </w:r>
          </w:p>
        </w:tc>
        <w:tc>
          <w:tcPr>
            <w:tcW w:w="1163" w:type="dxa"/>
            <w:noWrap w:val="0"/>
            <w:vAlign w:val="center"/>
          </w:tcPr>
          <w:p>
            <w:pPr>
              <w:jc w:val="center"/>
              <w:rPr>
                <w:rFonts w:hint="eastAsia" w:ascii="宋体" w:hAnsi="宋体" w:cs="宋体"/>
                <w:spacing w:val="0"/>
                <w:sz w:val="24"/>
              </w:rPr>
            </w:pPr>
            <w:r>
              <w:rPr>
                <w:rFonts w:hint="eastAsia" w:ascii="宋体" w:hAnsi="宋体" w:cs="宋体"/>
                <w:spacing w:val="0"/>
                <w:sz w:val="24"/>
              </w:rPr>
              <w:t>1分/次</w:t>
            </w:r>
          </w:p>
        </w:tc>
        <w:tc>
          <w:tcPr>
            <w:tcW w:w="993" w:type="dxa"/>
            <w:noWrap w:val="0"/>
            <w:vAlign w:val="center"/>
          </w:tcPr>
          <w:p>
            <w:pPr>
              <w:jc w:val="center"/>
              <w:rPr>
                <w:rFonts w:hint="eastAsia" w:ascii="宋体" w:hAnsi="宋体" w:cs="宋体"/>
                <w:spacing w:val="0"/>
                <w:sz w:val="24"/>
              </w:rPr>
            </w:pPr>
          </w:p>
        </w:tc>
        <w:tc>
          <w:tcPr>
            <w:tcW w:w="1487" w:type="dxa"/>
            <w:noWrap w:val="0"/>
            <w:vAlign w:val="center"/>
          </w:tcPr>
          <w:p>
            <w:pPr>
              <w:jc w:val="center"/>
              <w:rPr>
                <w:rFonts w:hint="eastAsia" w:ascii="宋体" w:hAnsi="宋体" w:cs="宋体"/>
                <w:spacing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65" w:type="dxa"/>
            <w:noWrap w:val="0"/>
            <w:vAlign w:val="center"/>
          </w:tcPr>
          <w:p>
            <w:pPr>
              <w:jc w:val="center"/>
              <w:rPr>
                <w:rFonts w:hint="eastAsia" w:ascii="宋体" w:hAnsi="宋体" w:cs="宋体"/>
                <w:spacing w:val="0"/>
                <w:sz w:val="24"/>
              </w:rPr>
            </w:pPr>
            <w:r>
              <w:rPr>
                <w:rFonts w:hint="eastAsia" w:ascii="宋体" w:hAnsi="宋体" w:cs="宋体"/>
                <w:spacing w:val="0"/>
                <w:sz w:val="24"/>
              </w:rPr>
              <w:t>供应商</w:t>
            </w:r>
          </w:p>
        </w:tc>
        <w:tc>
          <w:tcPr>
            <w:tcW w:w="4790" w:type="dxa"/>
            <w:gridSpan w:val="2"/>
            <w:noWrap w:val="0"/>
            <w:vAlign w:val="center"/>
          </w:tcPr>
          <w:p>
            <w:pPr>
              <w:jc w:val="center"/>
              <w:rPr>
                <w:rFonts w:hint="eastAsia" w:ascii="宋体" w:hAnsi="宋体" w:cs="宋体"/>
                <w:spacing w:val="0"/>
                <w:sz w:val="24"/>
              </w:rPr>
            </w:pPr>
          </w:p>
        </w:tc>
        <w:tc>
          <w:tcPr>
            <w:tcW w:w="1163" w:type="dxa"/>
            <w:noWrap w:val="0"/>
            <w:vAlign w:val="center"/>
          </w:tcPr>
          <w:p>
            <w:pPr>
              <w:jc w:val="center"/>
              <w:rPr>
                <w:rFonts w:hint="eastAsia" w:ascii="宋体" w:hAnsi="宋体" w:cs="宋体"/>
                <w:spacing w:val="0"/>
                <w:sz w:val="24"/>
              </w:rPr>
            </w:pPr>
            <w:r>
              <w:rPr>
                <w:rFonts w:hint="eastAsia" w:ascii="宋体" w:hAnsi="宋体" w:cs="宋体"/>
                <w:spacing w:val="0"/>
                <w:sz w:val="24"/>
              </w:rPr>
              <w:t>得分</w:t>
            </w:r>
          </w:p>
        </w:tc>
        <w:tc>
          <w:tcPr>
            <w:tcW w:w="2480" w:type="dxa"/>
            <w:gridSpan w:val="2"/>
            <w:noWrap w:val="0"/>
            <w:vAlign w:val="center"/>
          </w:tcPr>
          <w:p>
            <w:pPr>
              <w:jc w:val="center"/>
              <w:rPr>
                <w:rFonts w:hint="eastAsia" w:ascii="宋体" w:hAnsi="宋体" w:cs="宋体"/>
                <w:spacing w:val="0"/>
                <w:sz w:val="24"/>
              </w:rPr>
            </w:pPr>
          </w:p>
        </w:tc>
      </w:tr>
    </w:tbl>
    <w:p>
      <w:r>
        <w:rPr>
          <w:rFonts w:hint="eastAsia" w:ascii="宋体" w:hAnsi="宋体" w:cs="宋体"/>
          <w:spacing w:val="0"/>
          <w:sz w:val="24"/>
        </w:rPr>
        <w:t>1、考核成绩分数≥90为“优秀”；89-75为“合格”；74-60分为“基本合格”60分以下“不合格”。2、本考核表由药房负责人及相关参与人员填报。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0EB5C2"/>
    <w:multiLevelType w:val="singleLevel"/>
    <w:tmpl w:val="9F0EB5C2"/>
    <w:lvl w:ilvl="0" w:tentative="0">
      <w:start w:val="2"/>
      <w:numFmt w:val="decimal"/>
      <w:suff w:val="nothing"/>
      <w:lvlText w:val="%1、"/>
      <w:lvlJc w:val="left"/>
    </w:lvl>
  </w:abstractNum>
  <w:abstractNum w:abstractNumId="1">
    <w:nsid w:val="14C55516"/>
    <w:multiLevelType w:val="singleLevel"/>
    <w:tmpl w:val="14C55516"/>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kNmUyMDMwOTIwMmE3NDE0ZTlkNDM0ZjM4YTUxNjIifQ=="/>
  </w:docVars>
  <w:rsids>
    <w:rsidRoot w:val="495D629C"/>
    <w:rsid w:val="495D629C"/>
    <w:rsid w:val="7D8653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0</Words>
  <Characters>0</Characters>
  <Lines>0</Lines>
  <Paragraphs>0</Paragraphs>
  <TotalTime>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2024-05-11T00:46:00Z</dcterms:created>
  <dc:creator>Administrator</dc:creator>
  <cp:lastModifiedBy>PONYOBRA™ 内衣家居-霏小妮</cp:lastModifiedBy>
  <dcterms:modified xsi:type="dcterms:W3CDTF">2024-05-11T02:43:19Z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AEECB3061BE8497A864C4FC97A11F2DF_11</vt:lpwstr>
  </property>
</Properties>
</file>